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sz w:val="32"/>
        </w:rPr>
      </w:pPr>
    </w:p>
    <w:p>
      <w:pPr>
        <w:spacing w:line="590" w:lineRule="exact"/>
        <w:rPr>
          <w:rFonts w:hint="eastAsia" w:ascii="方正黑体简体" w:eastAsia="方正黑体简体"/>
          <w:sz w:val="32"/>
        </w:rPr>
      </w:pPr>
    </w:p>
    <w:p>
      <w:pPr>
        <w:spacing w:line="1180" w:lineRule="exact"/>
        <w:jc w:val="center"/>
        <w:rPr>
          <w:rFonts w:hint="eastAsia" w:ascii="方正大标宋简体" w:eastAsia="方正大标宋简体"/>
          <w:color w:val="FF0000"/>
          <w:sz w:val="84"/>
          <w:szCs w:val="84"/>
        </w:rPr>
      </w:pPr>
      <w:r>
        <w:rPr>
          <w:rFonts w:hint="eastAsia" w:ascii="方正大标宋简体" w:eastAsia="方正大标宋简体"/>
          <w:color w:val="FF0000"/>
          <w:spacing w:val="60"/>
          <w:sz w:val="84"/>
          <w:szCs w:val="84"/>
        </w:rPr>
        <w:t>蚌埠市人民政府</w:t>
      </w:r>
      <w:r>
        <w:rPr>
          <w:rFonts w:hint="eastAsia" w:ascii="方正大标宋简体" w:eastAsia="方正大标宋简体"/>
          <w:color w:val="FF0000"/>
          <w:sz w:val="84"/>
          <w:szCs w:val="84"/>
        </w:rPr>
        <w:t>令</w:t>
      </w:r>
    </w:p>
    <w:p>
      <w:pPr>
        <w:spacing w:line="590" w:lineRule="exact"/>
        <w:rPr>
          <w:rFonts w:hint="eastAsia" w:eastAsia="方正仿宋简体"/>
          <w:sz w:val="32"/>
          <w:szCs w:val="32"/>
        </w:rPr>
      </w:pPr>
    </w:p>
    <w:p>
      <w:pPr>
        <w:spacing w:line="590" w:lineRule="exact"/>
        <w:rPr>
          <w:rFonts w:hint="eastAsia" w:eastAsia="方正仿宋简体"/>
          <w:sz w:val="32"/>
          <w:szCs w:val="32"/>
        </w:rPr>
      </w:pPr>
    </w:p>
    <w:p>
      <w:pPr>
        <w:spacing w:line="590" w:lineRule="exact"/>
        <w:jc w:val="center"/>
        <w:rPr>
          <w:rFonts w:eastAsia="方正黑体简体"/>
          <w:sz w:val="32"/>
          <w:szCs w:val="32"/>
        </w:rPr>
      </w:pPr>
      <w:r>
        <w:rPr>
          <w:rFonts w:eastAsia="方正黑体简体"/>
          <w:sz w:val="32"/>
          <w:szCs w:val="32"/>
        </w:rPr>
        <w:t>第</w:t>
      </w:r>
      <w:r>
        <w:rPr>
          <w:rFonts w:hint="eastAsia" w:eastAsia="方正黑体简体"/>
          <w:sz w:val="32"/>
          <w:szCs w:val="32"/>
        </w:rPr>
        <w:t>47</w:t>
      </w:r>
      <w:r>
        <w:rPr>
          <w:rFonts w:eastAsia="方正黑体简体"/>
          <w:sz w:val="32"/>
          <w:szCs w:val="32"/>
        </w:rPr>
        <w:t>号</w:t>
      </w:r>
    </w:p>
    <w:p>
      <w:pPr>
        <w:spacing w:line="590" w:lineRule="exact"/>
        <w:rPr>
          <w:rFonts w:hint="eastAsia" w:eastAsia="方正仿宋简体"/>
          <w:sz w:val="32"/>
          <w:szCs w:val="32"/>
        </w:rPr>
      </w:pPr>
    </w:p>
    <w:p>
      <w:pPr>
        <w:spacing w:line="590" w:lineRule="exact"/>
        <w:rPr>
          <w:rFonts w:eastAsia="方正仿宋简体"/>
          <w:sz w:val="32"/>
          <w:szCs w:val="32"/>
        </w:rPr>
      </w:pPr>
    </w:p>
    <w:p>
      <w:pPr>
        <w:spacing w:line="590" w:lineRule="exact"/>
        <w:ind w:firstLine="640" w:firstLineChars="200"/>
        <w:rPr>
          <w:rFonts w:hint="eastAsia" w:eastAsia="方正仿宋简体"/>
          <w:sz w:val="32"/>
          <w:szCs w:val="32"/>
        </w:rPr>
      </w:pPr>
      <w:r>
        <w:rPr>
          <w:rFonts w:hint="eastAsia" w:eastAsia="方正仿宋简体"/>
          <w:sz w:val="32"/>
          <w:szCs w:val="32"/>
        </w:rPr>
        <w:t>《蚌埠市禁止、限制一次性不可降解塑料制品规定》已经2020年12月7日市十六届人民政府第49次常务会议审议通过，现予公布，自2021年3月1日起施行。</w:t>
      </w:r>
    </w:p>
    <w:p>
      <w:pPr>
        <w:spacing w:line="590" w:lineRule="exact"/>
        <w:rPr>
          <w:rFonts w:eastAsia="方正仿宋简体"/>
          <w:sz w:val="32"/>
          <w:szCs w:val="32"/>
        </w:rPr>
      </w:pPr>
    </w:p>
    <w:p>
      <w:pPr>
        <w:spacing w:line="590" w:lineRule="exact"/>
        <w:rPr>
          <w:rFonts w:eastAsia="方正仿宋简体"/>
          <w:sz w:val="32"/>
          <w:szCs w:val="32"/>
        </w:rPr>
      </w:pPr>
      <w:bookmarkStart w:id="0" w:name="_GoBack"/>
      <w:bookmarkEnd w:id="0"/>
    </w:p>
    <w:p>
      <w:pPr>
        <w:spacing w:line="590" w:lineRule="exact"/>
        <w:ind w:firstLine="4160" w:firstLineChars="1300"/>
        <w:rPr>
          <w:rFonts w:hint="eastAsia" w:eastAsia="方正仿宋简体"/>
          <w:sz w:val="32"/>
          <w:szCs w:val="32"/>
          <w:lang w:val="en-US" w:eastAsia="zh-CN"/>
        </w:rPr>
      </w:pPr>
      <w:r>
        <w:rPr>
          <w:rFonts w:hint="eastAsia" w:eastAsia="方正仿宋简体"/>
          <w:sz w:val="32"/>
          <w:szCs w:val="32"/>
        </w:rPr>
        <w:t>市 长</w:t>
      </w:r>
      <w:r>
        <w:rPr>
          <w:rFonts w:hint="eastAsia" w:eastAsia="方正仿宋简体"/>
          <w:sz w:val="32"/>
          <w:szCs w:val="32"/>
          <w:lang w:val="en-US" w:eastAsia="zh-CN"/>
        </w:rPr>
        <w:t xml:space="preserve">   王诚</w:t>
      </w:r>
    </w:p>
    <w:p>
      <w:pPr>
        <w:spacing w:line="590" w:lineRule="exact"/>
        <w:rPr>
          <w:rFonts w:hint="eastAsia" w:eastAsia="方正仿宋简体"/>
          <w:sz w:val="32"/>
          <w:szCs w:val="32"/>
        </w:rPr>
      </w:pPr>
    </w:p>
    <w:p>
      <w:pPr>
        <w:spacing w:line="590" w:lineRule="exact"/>
        <w:ind w:right="1260" w:rightChars="600"/>
        <w:jc w:val="right"/>
        <w:rPr>
          <w:rFonts w:hint="eastAsia" w:eastAsia="方正仿宋简体"/>
          <w:color w:val="000000"/>
          <w:sz w:val="32"/>
          <w:szCs w:val="32"/>
        </w:rPr>
      </w:pPr>
      <w:r>
        <w:rPr>
          <w:rFonts w:hint="eastAsia" w:eastAsia="方正仿宋简体"/>
          <w:sz w:val="32"/>
          <w:szCs w:val="32"/>
        </w:rPr>
        <w:t xml:space="preserve"> 2021年1月28日</w:t>
      </w:r>
    </w:p>
    <w:p>
      <w:pPr>
        <w:spacing w:line="590" w:lineRule="exact"/>
        <w:rPr>
          <w:rFonts w:eastAsia="方正仿宋简体"/>
          <w:sz w:val="32"/>
          <w:szCs w:val="32"/>
        </w:rPr>
      </w:pPr>
      <w:r>
        <w:rPr>
          <w:rFonts w:eastAsia="方正仿宋简体"/>
          <w:sz w:val="32"/>
          <w:szCs w:val="32"/>
        </w:rPr>
        <w:br w:type="page"/>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蚌埠市禁止、限制一次性不可</w:t>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降解塑料制品规定</w:t>
      </w:r>
    </w:p>
    <w:p>
      <w:pPr>
        <w:spacing w:line="590" w:lineRule="exact"/>
        <w:rPr>
          <w:rFonts w:eastAsia="方正仿宋简体"/>
          <w:sz w:val="32"/>
          <w:szCs w:val="32"/>
        </w:rPr>
      </w:pP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第一条</w:t>
      </w:r>
      <w:r>
        <w:rPr>
          <w:rFonts w:hint="eastAsia" w:eastAsia="方正仿宋简体"/>
          <w:sz w:val="32"/>
          <w:szCs w:val="32"/>
        </w:rPr>
        <w:t xml:space="preserve">  为了治理塑料污染，保护和改善生态环境，推进生态文明建设，促进经济社会可持续发展，根据《中华人民共和国固体废物污染环境防治法》等有关法律法规的规定，结合本市实际，制定本规定。</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第二条</w:t>
      </w:r>
      <w:r>
        <w:rPr>
          <w:rFonts w:hint="eastAsia" w:eastAsia="方正仿宋简体"/>
          <w:sz w:val="32"/>
          <w:szCs w:val="32"/>
        </w:rPr>
        <w:t xml:space="preserve">  本规定适用于本市行政区域内一次性不可降解塑料制品的生产、销售、使用等活动。</w:t>
      </w:r>
    </w:p>
    <w:p>
      <w:pPr>
        <w:spacing w:line="590" w:lineRule="exact"/>
        <w:ind w:firstLine="640" w:firstLineChars="200"/>
        <w:rPr>
          <w:rFonts w:hint="eastAsia" w:eastAsia="方正仿宋简体"/>
          <w:sz w:val="32"/>
          <w:szCs w:val="32"/>
        </w:rPr>
      </w:pPr>
      <w:r>
        <w:rPr>
          <w:rFonts w:hint="eastAsia" w:eastAsia="方正仿宋简体"/>
          <w:sz w:val="32"/>
          <w:szCs w:val="32"/>
        </w:rPr>
        <w:t>本规定所称一次性不可降解塑料制品，是指含有非生物降解高分子材料的一次性塑料制品，包括厚度小于0.025毫米的超薄塑料购物袋、厚度小于0.01毫米的聚乙烯农用地膜、一次性发泡塑料餐具、一次性塑料棉签、含塑料微珠的日化产品、不可降解塑料袋、一次性塑料餐具、宾馆酒店一次性塑料用品、快递塑料包装以及市人民政府根据实际确定的其他需要禁止、限制的一次性不可降解塑料制品。</w:t>
      </w:r>
    </w:p>
    <w:p>
      <w:pPr>
        <w:spacing w:line="590" w:lineRule="exact"/>
        <w:ind w:firstLine="640" w:firstLineChars="200"/>
        <w:rPr>
          <w:rFonts w:hint="eastAsia" w:eastAsia="方正仿宋简体"/>
          <w:sz w:val="32"/>
          <w:szCs w:val="32"/>
        </w:rPr>
      </w:pPr>
      <w:r>
        <w:rPr>
          <w:rFonts w:hint="eastAsia" w:eastAsia="方正仿宋简体"/>
          <w:sz w:val="32"/>
          <w:szCs w:val="32"/>
        </w:rPr>
        <w:t>具体禁止、限制的一次性不可降解塑料制品种类，禁止、限制时间、区域和行业领域实行目录管理。禁止、限制目录的制定和动态调整由市人民政府发展改革部门会同生态环境等有关部门论证评估后提出，报市人民政府批准，并向社会公布。</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第三条</w:t>
      </w:r>
      <w:r>
        <w:rPr>
          <w:rFonts w:hint="eastAsia" w:eastAsia="方正仿宋简体"/>
          <w:sz w:val="32"/>
          <w:szCs w:val="32"/>
        </w:rPr>
        <w:t xml:space="preserve">  禁止、限制一次性不可降解塑料制品应当遵循政府引导、多元共治、源头管控、有序推进的原则，分类提出管理要求，合理确定实施路径，积极稳妥推进工作。</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第四条</w:t>
      </w:r>
      <w:r>
        <w:rPr>
          <w:rFonts w:hint="eastAsia" w:eastAsia="方正仿宋简体"/>
          <w:sz w:val="32"/>
          <w:szCs w:val="32"/>
        </w:rPr>
        <w:t xml:space="preserve">  市、县、区人民政府应当加强对禁止、限制一次性不可降解塑料制品工作的领导，组织、协调、督促有关部门依法履行监督管理职责，并将所需经费纳入本级财政预算。</w:t>
      </w:r>
    </w:p>
    <w:p>
      <w:pPr>
        <w:spacing w:line="590" w:lineRule="exact"/>
        <w:ind w:firstLine="640" w:firstLineChars="200"/>
        <w:rPr>
          <w:rFonts w:hint="eastAsia" w:eastAsia="方正仿宋简体"/>
          <w:sz w:val="32"/>
          <w:szCs w:val="32"/>
        </w:rPr>
      </w:pPr>
      <w:r>
        <w:rPr>
          <w:rFonts w:hint="eastAsia" w:eastAsia="方正仿宋简体"/>
          <w:sz w:val="32"/>
          <w:szCs w:val="32"/>
        </w:rPr>
        <w:t>市开发区管理机构负责其管辖范围内的禁止、限制一次性不可降解塑料制品工作。</w:t>
      </w:r>
    </w:p>
    <w:p>
      <w:pPr>
        <w:spacing w:line="590" w:lineRule="exact"/>
        <w:ind w:firstLine="640" w:firstLineChars="200"/>
        <w:rPr>
          <w:rFonts w:hint="eastAsia" w:eastAsia="方正仿宋简体"/>
          <w:sz w:val="32"/>
          <w:szCs w:val="32"/>
        </w:rPr>
      </w:pPr>
      <w:r>
        <w:rPr>
          <w:rFonts w:hint="eastAsia" w:eastAsia="方正仿宋简体"/>
          <w:sz w:val="32"/>
          <w:szCs w:val="32"/>
        </w:rPr>
        <w:t>乡镇人民政府、街道办事处（社区中心）应当协助、配合有关部门开展禁止、限制一次性不可降解塑料制品工作。</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第五条</w:t>
      </w:r>
      <w:r>
        <w:rPr>
          <w:rFonts w:hint="eastAsia" w:eastAsia="方正仿宋简体"/>
          <w:sz w:val="32"/>
          <w:szCs w:val="32"/>
        </w:rPr>
        <w:t xml:space="preserve">  市、县、区人民政府应当建立和完善禁止、限制一次性不可降解塑料制品综合考核制度，并纳入政府绩效考核指标体系。</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 xml:space="preserve">第六条 </w:t>
      </w:r>
      <w:r>
        <w:rPr>
          <w:rFonts w:hint="eastAsia" w:eastAsia="方正仿宋简体"/>
          <w:sz w:val="32"/>
          <w:szCs w:val="32"/>
        </w:rPr>
        <w:t xml:space="preserve"> 发展改革部门负责会同有关部门加强产业指导，完善全生物降解塑料制品种类，逐步扩大全生物降解塑料制品替代范围。</w:t>
      </w:r>
    </w:p>
    <w:p>
      <w:pPr>
        <w:spacing w:line="590" w:lineRule="exact"/>
        <w:ind w:firstLine="640" w:firstLineChars="200"/>
        <w:rPr>
          <w:rFonts w:hint="eastAsia" w:eastAsia="方正仿宋简体"/>
          <w:sz w:val="32"/>
          <w:szCs w:val="32"/>
        </w:rPr>
      </w:pPr>
      <w:r>
        <w:rPr>
          <w:rFonts w:hint="eastAsia" w:eastAsia="方正仿宋简体"/>
          <w:sz w:val="32"/>
          <w:szCs w:val="32"/>
        </w:rPr>
        <w:t>生态环境主管部门负责会同有关部门推行生态环境保护综合执法，开展防治一次性不可降解塑料制品污染及其相关监督管理工作。</w:t>
      </w:r>
    </w:p>
    <w:p>
      <w:pPr>
        <w:spacing w:line="590" w:lineRule="exact"/>
        <w:ind w:firstLine="640" w:firstLineChars="200"/>
        <w:rPr>
          <w:rFonts w:hint="eastAsia" w:eastAsia="方正仿宋简体"/>
          <w:sz w:val="32"/>
          <w:szCs w:val="32"/>
        </w:rPr>
      </w:pPr>
      <w:r>
        <w:rPr>
          <w:rFonts w:hint="eastAsia" w:eastAsia="方正仿宋简体"/>
          <w:sz w:val="32"/>
          <w:szCs w:val="32"/>
        </w:rPr>
        <w:t>经济和信息化部门负责组织对涉及生产淘汰类塑料制品的企业进行产能摸排，引导相关企业及时做好生产调整等工作。</w:t>
      </w:r>
    </w:p>
    <w:p>
      <w:pPr>
        <w:spacing w:line="590" w:lineRule="exact"/>
        <w:ind w:firstLine="640" w:firstLineChars="200"/>
        <w:rPr>
          <w:rFonts w:hint="eastAsia" w:eastAsia="方正仿宋简体"/>
          <w:sz w:val="32"/>
          <w:szCs w:val="32"/>
        </w:rPr>
      </w:pPr>
      <w:r>
        <w:rPr>
          <w:rFonts w:hint="eastAsia" w:eastAsia="方正仿宋简体"/>
          <w:sz w:val="32"/>
          <w:szCs w:val="32"/>
        </w:rPr>
        <w:t>住房和城乡建设部门负责便民临时疏导点、临时摊点等场所禁止、限制一次性不可降解塑料制品的监督管理工作。</w:t>
      </w:r>
    </w:p>
    <w:p>
      <w:pPr>
        <w:spacing w:line="590" w:lineRule="exact"/>
        <w:ind w:firstLine="640" w:firstLineChars="200"/>
        <w:rPr>
          <w:rFonts w:hint="eastAsia" w:eastAsia="方正仿宋简体"/>
          <w:sz w:val="32"/>
          <w:szCs w:val="32"/>
        </w:rPr>
      </w:pPr>
      <w:r>
        <w:rPr>
          <w:rFonts w:hint="eastAsia" w:eastAsia="方正仿宋简体"/>
          <w:sz w:val="32"/>
          <w:szCs w:val="32"/>
        </w:rPr>
        <w:t>农业农村部门负责会同有关部门对市场销售的农膜地膜加强抽检抽查，开展农业领域禁止、限制一次性不可降解塑料制品的监督管理工作。</w:t>
      </w:r>
    </w:p>
    <w:p>
      <w:pPr>
        <w:spacing w:line="590" w:lineRule="exact"/>
        <w:ind w:firstLine="640" w:firstLineChars="200"/>
        <w:rPr>
          <w:rFonts w:hint="eastAsia" w:eastAsia="方正仿宋简体"/>
          <w:sz w:val="32"/>
          <w:szCs w:val="32"/>
        </w:rPr>
      </w:pPr>
      <w:r>
        <w:rPr>
          <w:rFonts w:hint="eastAsia" w:eastAsia="方正仿宋简体"/>
          <w:sz w:val="32"/>
          <w:szCs w:val="32"/>
        </w:rPr>
        <w:t>商务部门负责会同有关部门加强商品零售场所、电子商务平台企业、餐饮企业、外卖企业、各类展会活动等禁止、限制一次性不可降解塑料制品的指导管理，引导督促相关企业做好产品替代。</w:t>
      </w:r>
    </w:p>
    <w:p>
      <w:pPr>
        <w:spacing w:line="590" w:lineRule="exact"/>
        <w:ind w:firstLine="640" w:firstLineChars="200"/>
        <w:rPr>
          <w:rFonts w:hint="eastAsia" w:eastAsia="方正仿宋简体"/>
          <w:sz w:val="32"/>
          <w:szCs w:val="32"/>
        </w:rPr>
      </w:pPr>
      <w:r>
        <w:rPr>
          <w:rFonts w:hint="eastAsia" w:eastAsia="方正仿宋简体"/>
          <w:sz w:val="32"/>
          <w:szCs w:val="32"/>
        </w:rPr>
        <w:t>文化和旅游部门负责将一次性塑料制品管控要求纳入旅游景区和星级宾馆、酒店评定评级标准，引导景区景点、宾馆、酒店遵守一次性不可降解塑料制品的管控要求。</w:t>
      </w:r>
    </w:p>
    <w:p>
      <w:pPr>
        <w:spacing w:line="590" w:lineRule="exact"/>
        <w:ind w:firstLine="640" w:firstLineChars="200"/>
        <w:rPr>
          <w:rFonts w:hint="eastAsia" w:eastAsia="方正仿宋简体"/>
          <w:sz w:val="32"/>
          <w:szCs w:val="32"/>
        </w:rPr>
      </w:pPr>
      <w:r>
        <w:rPr>
          <w:rFonts w:hint="eastAsia" w:eastAsia="方正仿宋简体"/>
          <w:sz w:val="32"/>
          <w:szCs w:val="32"/>
        </w:rPr>
        <w:t>卫生健康部门负责医院、诊所等医疗卫生行业禁止、限制一次性不可降解塑料制品的监督管理工作。</w:t>
      </w:r>
    </w:p>
    <w:p>
      <w:pPr>
        <w:spacing w:line="590" w:lineRule="exact"/>
        <w:ind w:firstLine="640" w:firstLineChars="200"/>
        <w:rPr>
          <w:rFonts w:hint="eastAsia" w:eastAsia="方正仿宋简体"/>
          <w:sz w:val="32"/>
          <w:szCs w:val="32"/>
        </w:rPr>
      </w:pPr>
      <w:r>
        <w:rPr>
          <w:rFonts w:hint="eastAsia" w:eastAsia="方正仿宋简体"/>
          <w:sz w:val="32"/>
          <w:szCs w:val="32"/>
        </w:rPr>
        <w:t>市场监管部门负责组织开展一次性不可降解塑料制品产品质量监督抽查，依法查处违法生产销售的行为。</w:t>
      </w:r>
    </w:p>
    <w:p>
      <w:pPr>
        <w:spacing w:line="590" w:lineRule="exact"/>
        <w:ind w:firstLine="640" w:firstLineChars="200"/>
        <w:rPr>
          <w:rFonts w:hint="eastAsia" w:eastAsia="方正仿宋简体"/>
          <w:sz w:val="32"/>
          <w:szCs w:val="32"/>
        </w:rPr>
      </w:pPr>
      <w:r>
        <w:rPr>
          <w:rFonts w:hint="eastAsia" w:eastAsia="方正仿宋简体"/>
          <w:sz w:val="32"/>
          <w:szCs w:val="32"/>
        </w:rPr>
        <w:t>邮政管理部门负责快递领域禁止、限制一次性不可降解塑料制品的监督管理工作，推进快递绿色包装产品使用。</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第七条</w:t>
      </w:r>
      <w:r>
        <w:rPr>
          <w:rFonts w:hint="eastAsia" w:eastAsia="方正仿宋简体"/>
          <w:sz w:val="32"/>
          <w:szCs w:val="32"/>
        </w:rPr>
        <w:t xml:space="preserve">  支持可循环、易回收、可降解的替代产品的科学研究、生产、推广应用，加强禁止、限制一次性不可降解塑料制品科技支撑。</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 xml:space="preserve">第八条 </w:t>
      </w:r>
      <w:r>
        <w:rPr>
          <w:rFonts w:hint="eastAsia" w:eastAsia="方正仿宋简体"/>
          <w:sz w:val="32"/>
          <w:szCs w:val="32"/>
        </w:rPr>
        <w:t xml:space="preserve"> 鼓励单位和个人购买、使用全生物降解塑料制品和可重复使用产品。</w:t>
      </w:r>
    </w:p>
    <w:p>
      <w:pPr>
        <w:spacing w:line="590" w:lineRule="exact"/>
        <w:ind w:firstLine="640" w:firstLineChars="200"/>
        <w:rPr>
          <w:rFonts w:hint="eastAsia" w:eastAsia="方正仿宋简体"/>
          <w:sz w:val="32"/>
          <w:szCs w:val="32"/>
        </w:rPr>
      </w:pPr>
      <w:r>
        <w:rPr>
          <w:rFonts w:hint="eastAsia" w:eastAsia="方正仿宋简体"/>
          <w:sz w:val="32"/>
          <w:szCs w:val="32"/>
        </w:rPr>
        <w:t>党政机关、事业单位、国有企业应当优先采购全生物降解塑料制品和可重复使用产品。</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第九条</w:t>
      </w:r>
      <w:r>
        <w:rPr>
          <w:rFonts w:hint="eastAsia" w:eastAsia="方正仿宋简体"/>
          <w:sz w:val="32"/>
          <w:szCs w:val="32"/>
        </w:rPr>
        <w:t xml:space="preserve">  党政机关、社会团体、企事业单位、基层群众性自治组织和新闻媒体应当加强塑料污染防治宣传教育和科学普及，增强公众生态环境保护意识。</w:t>
      </w:r>
    </w:p>
    <w:p>
      <w:pPr>
        <w:spacing w:line="590" w:lineRule="exact"/>
        <w:ind w:firstLine="640" w:firstLineChars="200"/>
        <w:rPr>
          <w:rFonts w:hint="eastAsia" w:eastAsia="方正仿宋简体"/>
          <w:sz w:val="32"/>
          <w:szCs w:val="32"/>
        </w:rPr>
      </w:pPr>
      <w:r>
        <w:rPr>
          <w:rFonts w:hint="eastAsia" w:eastAsia="方正仿宋简体"/>
          <w:sz w:val="32"/>
          <w:szCs w:val="32"/>
        </w:rPr>
        <w:t>学校应当开展塑料污染防治知识普及和教育。</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第十条</w:t>
      </w:r>
      <w:r>
        <w:rPr>
          <w:rFonts w:hint="eastAsia" w:eastAsia="方正仿宋简体"/>
          <w:sz w:val="32"/>
          <w:szCs w:val="32"/>
        </w:rPr>
        <w:t xml:space="preserve">  市、县、区人民政府应当建立生态环境主管部门和其他有关部门的联合执法机制，及时查处违反本规定的行为。</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 xml:space="preserve">第十一条 </w:t>
      </w:r>
      <w:r>
        <w:rPr>
          <w:rFonts w:hint="eastAsia" w:eastAsia="方正仿宋简体"/>
          <w:sz w:val="32"/>
          <w:szCs w:val="32"/>
        </w:rPr>
        <w:t xml:space="preserve"> 任何单位和个人可以通过12345市长热线或者向有关部门举报违反本规定的行为。</w:t>
      </w:r>
    </w:p>
    <w:p>
      <w:pPr>
        <w:spacing w:line="590" w:lineRule="exact"/>
        <w:ind w:firstLine="640" w:firstLineChars="200"/>
        <w:rPr>
          <w:rFonts w:hint="eastAsia" w:eastAsia="方正仿宋简体"/>
          <w:sz w:val="32"/>
          <w:szCs w:val="32"/>
        </w:rPr>
      </w:pPr>
      <w:r>
        <w:rPr>
          <w:rFonts w:hint="eastAsia" w:eastAsia="方正仿宋简体"/>
          <w:sz w:val="32"/>
          <w:szCs w:val="32"/>
        </w:rPr>
        <w:t>接到举报的部门应当及时处理并将处理结果告知举报人。对实名举报并查证属实的，由查处违法行为的部门按照有关规定对举报人给予奖励。</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 xml:space="preserve">第十二条 </w:t>
      </w:r>
      <w:r>
        <w:rPr>
          <w:rFonts w:hint="eastAsia" w:eastAsia="方正仿宋简体"/>
          <w:sz w:val="32"/>
          <w:szCs w:val="32"/>
        </w:rPr>
        <w:t xml:space="preserve"> 有关部门依法履行监督检查职责时，可以采取以下措施：</w:t>
      </w:r>
    </w:p>
    <w:p>
      <w:pPr>
        <w:spacing w:line="590" w:lineRule="exact"/>
        <w:ind w:firstLine="640" w:firstLineChars="200"/>
        <w:rPr>
          <w:rFonts w:hint="eastAsia" w:eastAsia="方正仿宋简体"/>
          <w:sz w:val="32"/>
          <w:szCs w:val="32"/>
        </w:rPr>
      </w:pPr>
      <w:r>
        <w:rPr>
          <w:rFonts w:hint="eastAsia" w:eastAsia="方正仿宋简体"/>
          <w:sz w:val="32"/>
          <w:szCs w:val="32"/>
        </w:rPr>
        <w:t>（一）进入现场开展检查、抽样检验；</w:t>
      </w:r>
    </w:p>
    <w:p>
      <w:pPr>
        <w:spacing w:line="590" w:lineRule="exact"/>
        <w:ind w:firstLine="640" w:firstLineChars="200"/>
        <w:rPr>
          <w:rFonts w:hint="eastAsia" w:eastAsia="方正仿宋简体"/>
          <w:sz w:val="32"/>
          <w:szCs w:val="32"/>
        </w:rPr>
      </w:pPr>
      <w:r>
        <w:rPr>
          <w:rFonts w:hint="eastAsia" w:eastAsia="方正仿宋简体"/>
          <w:sz w:val="32"/>
          <w:szCs w:val="32"/>
        </w:rPr>
        <w:t>（二）查阅复制有关文件和资料；</w:t>
      </w:r>
    </w:p>
    <w:p>
      <w:pPr>
        <w:spacing w:line="590" w:lineRule="exact"/>
        <w:ind w:firstLine="640" w:firstLineChars="200"/>
        <w:rPr>
          <w:rFonts w:hint="eastAsia" w:eastAsia="方正仿宋简体"/>
          <w:sz w:val="32"/>
          <w:szCs w:val="32"/>
        </w:rPr>
      </w:pPr>
      <w:r>
        <w:rPr>
          <w:rFonts w:hint="eastAsia" w:eastAsia="方正仿宋简体"/>
          <w:sz w:val="32"/>
          <w:szCs w:val="32"/>
        </w:rPr>
        <w:t>（三）向被检查的单位和个人了解有关情况；</w:t>
      </w:r>
    </w:p>
    <w:p>
      <w:pPr>
        <w:spacing w:line="590" w:lineRule="exact"/>
        <w:ind w:firstLine="640" w:firstLineChars="200"/>
        <w:rPr>
          <w:rFonts w:hint="eastAsia" w:eastAsia="方正仿宋简体"/>
          <w:sz w:val="32"/>
          <w:szCs w:val="32"/>
        </w:rPr>
      </w:pPr>
      <w:r>
        <w:rPr>
          <w:rFonts w:hint="eastAsia" w:eastAsia="方正仿宋简体"/>
          <w:sz w:val="32"/>
          <w:szCs w:val="32"/>
        </w:rPr>
        <w:t>（四）法律法规规定可以采取的其他措施。</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第十三条</w:t>
      </w:r>
      <w:r>
        <w:rPr>
          <w:rFonts w:hint="eastAsia" w:eastAsia="方正仿宋简体"/>
          <w:sz w:val="32"/>
          <w:szCs w:val="32"/>
        </w:rPr>
        <w:t xml:space="preserve">  有关部门依法进行监督检查时，被检查的单位或个人应当配合，不得弄虚作假，不得拒绝、阻挠。</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第十四条</w:t>
      </w:r>
      <w:r>
        <w:rPr>
          <w:rFonts w:hint="eastAsia" w:eastAsia="方正仿宋简体"/>
          <w:sz w:val="32"/>
          <w:szCs w:val="32"/>
        </w:rPr>
        <w:t xml:space="preserve">  违反本规定，生产、销售、使用禁止、限制的一次性不可降解塑料制品的，由有关部门按照职责分工责令改正，并依据国家有关规定依法处罚。</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 xml:space="preserve">第十五条  </w:t>
      </w:r>
      <w:r>
        <w:rPr>
          <w:rFonts w:hint="eastAsia" w:eastAsia="方正仿宋简体"/>
          <w:sz w:val="32"/>
          <w:szCs w:val="32"/>
        </w:rPr>
        <w:t>违反本规定，有关部门及其工作人员滥用职权、玩忽职守、徇私舞弊的，依法对直接负责的主管人员和其他直接责任人员给予处分；构成犯罪的，依法追究刑事责任。</w:t>
      </w:r>
    </w:p>
    <w:p>
      <w:pPr>
        <w:spacing w:line="590" w:lineRule="exact"/>
        <w:ind w:firstLine="640" w:firstLineChars="200"/>
        <w:rPr>
          <w:rFonts w:hint="eastAsia" w:eastAsia="方正仿宋简体"/>
          <w:sz w:val="32"/>
          <w:szCs w:val="32"/>
        </w:rPr>
      </w:pPr>
      <w:r>
        <w:rPr>
          <w:rFonts w:hint="eastAsia" w:ascii="方正黑体简体" w:eastAsia="方正黑体简体"/>
          <w:sz w:val="32"/>
          <w:szCs w:val="32"/>
        </w:rPr>
        <w:t>第十六条</w:t>
      </w:r>
      <w:r>
        <w:rPr>
          <w:rFonts w:hint="eastAsia" w:eastAsia="方正仿宋简体"/>
          <w:sz w:val="32"/>
          <w:szCs w:val="32"/>
        </w:rPr>
        <w:t xml:space="preserve">  本规定自2021年3月1日起施行。</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font-weight : 400">
    <w:altName w:val="Times New Roman"/>
    <w:panose1 w:val="00000000000000000000"/>
    <w:charset w:val="00"/>
    <w:family w:val="auto"/>
    <w:pitch w:val="default"/>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方正大标宋简体">
    <w:altName w:val="微软雅黑"/>
    <w:panose1 w:val="03000509000000000000"/>
    <w:charset w:val="86"/>
    <w:family w:val="script"/>
    <w:pitch w:val="default"/>
    <w:sig w:usb0="00000003" w:usb1="080E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15" w:rightChars="150"/>
      <w:jc w:val="right"/>
      <w:rPr>
        <w:sz w:val="28"/>
        <w:szCs w:val="28"/>
        <w:lang w:eastAsia="zh-CN"/>
      </w:rPr>
    </w:pPr>
    <w:r>
      <w:rPr>
        <w:rFonts w:hint="eastAsia" w:eastAsia="仿宋_GB2312"/>
        <w:sz w:val="28"/>
        <w:szCs w:val="28"/>
        <w:lang w:eastAsia="zh-CN"/>
      </w:rPr>
      <w:t>—</w:t>
    </w:r>
    <w:r>
      <w:rPr>
        <w:rFonts w:eastAsia="仿宋_GB2312"/>
        <w:sz w:val="28"/>
        <w:szCs w:val="28"/>
        <w:lang w:eastAsia="zh-CN"/>
      </w:rPr>
      <w:t xml:space="preserve"> </w:t>
    </w:r>
    <w:r>
      <w:rPr>
        <w:rFonts w:eastAsia="仿宋_GB2312"/>
        <w:sz w:val="28"/>
        <w:szCs w:val="28"/>
      </w:rPr>
      <w:fldChar w:fldCharType="begin"/>
    </w:r>
    <w:r>
      <w:rPr>
        <w:rFonts w:eastAsia="仿宋_GB2312"/>
        <w:sz w:val="28"/>
        <w:szCs w:val="28"/>
      </w:rPr>
      <w:instrText xml:space="preserve">PAGE   \* MERGEFORMAT</w:instrText>
    </w:r>
    <w:r>
      <w:rPr>
        <w:rFonts w:eastAsia="仿宋_GB2312"/>
        <w:sz w:val="28"/>
        <w:szCs w:val="28"/>
      </w:rPr>
      <w:fldChar w:fldCharType="separate"/>
    </w:r>
    <w:r>
      <w:rPr>
        <w:rFonts w:eastAsia="仿宋_GB2312"/>
        <w:sz w:val="28"/>
        <w:szCs w:val="28"/>
        <w:lang w:val="zh-CN"/>
      </w:rPr>
      <w:t>5</w:t>
    </w:r>
    <w:r>
      <w:rPr>
        <w:rFonts w:eastAsia="仿宋_GB2312"/>
        <w:sz w:val="28"/>
        <w:szCs w:val="28"/>
      </w:rPr>
      <w:fldChar w:fldCharType="end"/>
    </w:r>
    <w:r>
      <w:rPr>
        <w:rFonts w:eastAsia="仿宋_GB2312"/>
        <w:sz w:val="28"/>
        <w:szCs w:val="28"/>
        <w:lang w:eastAsia="zh-CN"/>
      </w:rPr>
      <w:t xml:space="preserve"> </w:t>
    </w:r>
    <w:r>
      <w:rPr>
        <w:rFonts w:hint="eastAsia" w:eastAsia="仿宋_GB2312"/>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Pr>
        <w:rFonts w:hint="eastAsia"/>
        <w:sz w:val="28"/>
        <w:szCs w:val="28"/>
        <w:lang w:eastAsia="zh-CN"/>
      </w:rPr>
    </w:pPr>
    <w:r>
      <w:rPr>
        <w:rFonts w:hint="eastAsia" w:eastAsia="仿宋_GB2312"/>
        <w:sz w:val="28"/>
        <w:szCs w:val="28"/>
        <w:lang w:eastAsia="zh-CN"/>
      </w:rPr>
      <w:t>—</w:t>
    </w:r>
    <w:r>
      <w:rPr>
        <w:rFonts w:eastAsia="仿宋_GB2312"/>
        <w:sz w:val="28"/>
        <w:szCs w:val="28"/>
        <w:lang w:eastAsia="zh-CN"/>
      </w:rPr>
      <w:t xml:space="preserve"> </w:t>
    </w:r>
    <w:r>
      <w:rPr>
        <w:rFonts w:eastAsia="仿宋_GB2312"/>
        <w:sz w:val="28"/>
        <w:szCs w:val="28"/>
      </w:rPr>
      <w:fldChar w:fldCharType="begin"/>
    </w:r>
    <w:r>
      <w:rPr>
        <w:rFonts w:eastAsia="仿宋_GB2312"/>
        <w:sz w:val="28"/>
        <w:szCs w:val="28"/>
      </w:rPr>
      <w:instrText xml:space="preserve">PAGE   \* MERGEFORMAT</w:instrText>
    </w:r>
    <w:r>
      <w:rPr>
        <w:rFonts w:eastAsia="仿宋_GB2312"/>
        <w:sz w:val="28"/>
        <w:szCs w:val="28"/>
      </w:rPr>
      <w:fldChar w:fldCharType="separate"/>
    </w:r>
    <w:r>
      <w:rPr>
        <w:rFonts w:eastAsia="仿宋_GB2312"/>
        <w:sz w:val="28"/>
        <w:szCs w:val="28"/>
        <w:lang w:val="zh-CN"/>
      </w:rPr>
      <w:t>4</w:t>
    </w:r>
    <w:r>
      <w:rPr>
        <w:rFonts w:eastAsia="仿宋_GB2312"/>
        <w:sz w:val="28"/>
        <w:szCs w:val="28"/>
      </w:rPr>
      <w:fldChar w:fldCharType="end"/>
    </w:r>
    <w:r>
      <w:rPr>
        <w:rFonts w:eastAsia="仿宋_GB2312"/>
        <w:sz w:val="28"/>
        <w:szCs w:val="28"/>
        <w:lang w:eastAsia="zh-CN"/>
      </w:rPr>
      <w:t xml:space="preserve"> </w:t>
    </w:r>
    <w:r>
      <w:rPr>
        <w:rFonts w:hint="eastAsia" w:eastAsia="仿宋_GB2312"/>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5k3zyPmm83DpvdiNsmrnE6nBfNM=" w:salt="wDU/9O/WervD7PlA0Mgan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5D"/>
    <w:rsid w:val="000013DE"/>
    <w:rsid w:val="00004EBA"/>
    <w:rsid w:val="00015D90"/>
    <w:rsid w:val="000334B5"/>
    <w:rsid w:val="00034BFC"/>
    <w:rsid w:val="00045CDA"/>
    <w:rsid w:val="0008276C"/>
    <w:rsid w:val="00083927"/>
    <w:rsid w:val="00090199"/>
    <w:rsid w:val="00094396"/>
    <w:rsid w:val="0009642C"/>
    <w:rsid w:val="000B7183"/>
    <w:rsid w:val="000D45AD"/>
    <w:rsid w:val="000F37FE"/>
    <w:rsid w:val="000F56F1"/>
    <w:rsid w:val="0010246D"/>
    <w:rsid w:val="001031AB"/>
    <w:rsid w:val="00112BC8"/>
    <w:rsid w:val="00120FEA"/>
    <w:rsid w:val="001225BE"/>
    <w:rsid w:val="00150F60"/>
    <w:rsid w:val="001524BA"/>
    <w:rsid w:val="001552F8"/>
    <w:rsid w:val="001835B9"/>
    <w:rsid w:val="001C30BA"/>
    <w:rsid w:val="001C6A90"/>
    <w:rsid w:val="001E1268"/>
    <w:rsid w:val="001F7CE5"/>
    <w:rsid w:val="00224237"/>
    <w:rsid w:val="0023034B"/>
    <w:rsid w:val="00234E90"/>
    <w:rsid w:val="002567DE"/>
    <w:rsid w:val="00274E5D"/>
    <w:rsid w:val="002776D9"/>
    <w:rsid w:val="0028138D"/>
    <w:rsid w:val="00287E1A"/>
    <w:rsid w:val="00297920"/>
    <w:rsid w:val="002A115C"/>
    <w:rsid w:val="002A172B"/>
    <w:rsid w:val="002B12E2"/>
    <w:rsid w:val="002D52A3"/>
    <w:rsid w:val="002F0101"/>
    <w:rsid w:val="0030133E"/>
    <w:rsid w:val="00305316"/>
    <w:rsid w:val="003121A0"/>
    <w:rsid w:val="00373007"/>
    <w:rsid w:val="00381C35"/>
    <w:rsid w:val="003A1D61"/>
    <w:rsid w:val="003D0451"/>
    <w:rsid w:val="003E525F"/>
    <w:rsid w:val="00406E5C"/>
    <w:rsid w:val="0040738F"/>
    <w:rsid w:val="00423D06"/>
    <w:rsid w:val="0042720A"/>
    <w:rsid w:val="00441A72"/>
    <w:rsid w:val="004423FD"/>
    <w:rsid w:val="00454452"/>
    <w:rsid w:val="00473476"/>
    <w:rsid w:val="0048082D"/>
    <w:rsid w:val="00491AB0"/>
    <w:rsid w:val="00493286"/>
    <w:rsid w:val="00496A0B"/>
    <w:rsid w:val="004A1854"/>
    <w:rsid w:val="004A21BA"/>
    <w:rsid w:val="004A6572"/>
    <w:rsid w:val="004C6169"/>
    <w:rsid w:val="004D6A40"/>
    <w:rsid w:val="004D7BEF"/>
    <w:rsid w:val="004E68E9"/>
    <w:rsid w:val="004F530F"/>
    <w:rsid w:val="004F558A"/>
    <w:rsid w:val="0050672F"/>
    <w:rsid w:val="00506F6F"/>
    <w:rsid w:val="00515163"/>
    <w:rsid w:val="005277ED"/>
    <w:rsid w:val="00527E05"/>
    <w:rsid w:val="0054089C"/>
    <w:rsid w:val="00556665"/>
    <w:rsid w:val="00561349"/>
    <w:rsid w:val="00565D6B"/>
    <w:rsid w:val="00575A24"/>
    <w:rsid w:val="00590C22"/>
    <w:rsid w:val="00595B85"/>
    <w:rsid w:val="005A010F"/>
    <w:rsid w:val="005A2390"/>
    <w:rsid w:val="005B5F88"/>
    <w:rsid w:val="005C445F"/>
    <w:rsid w:val="00613F5B"/>
    <w:rsid w:val="00624830"/>
    <w:rsid w:val="006369F6"/>
    <w:rsid w:val="0067575A"/>
    <w:rsid w:val="006774F2"/>
    <w:rsid w:val="00692132"/>
    <w:rsid w:val="00695441"/>
    <w:rsid w:val="006A15CB"/>
    <w:rsid w:val="006D5159"/>
    <w:rsid w:val="006D70DA"/>
    <w:rsid w:val="006E0BC9"/>
    <w:rsid w:val="006E4E3A"/>
    <w:rsid w:val="0070316C"/>
    <w:rsid w:val="00710EA6"/>
    <w:rsid w:val="00715CB5"/>
    <w:rsid w:val="00727583"/>
    <w:rsid w:val="00732152"/>
    <w:rsid w:val="00733F5B"/>
    <w:rsid w:val="00736624"/>
    <w:rsid w:val="00760BF2"/>
    <w:rsid w:val="00770DBA"/>
    <w:rsid w:val="0077599C"/>
    <w:rsid w:val="00790F1C"/>
    <w:rsid w:val="007A7EFF"/>
    <w:rsid w:val="007B0D1C"/>
    <w:rsid w:val="007B3AE0"/>
    <w:rsid w:val="007B6CA8"/>
    <w:rsid w:val="007C287C"/>
    <w:rsid w:val="007F18A4"/>
    <w:rsid w:val="00815C10"/>
    <w:rsid w:val="008170B0"/>
    <w:rsid w:val="008236BE"/>
    <w:rsid w:val="008311E1"/>
    <w:rsid w:val="00835C6E"/>
    <w:rsid w:val="00851833"/>
    <w:rsid w:val="00872339"/>
    <w:rsid w:val="008A47DD"/>
    <w:rsid w:val="008B35EF"/>
    <w:rsid w:val="008D43E1"/>
    <w:rsid w:val="008D4D0B"/>
    <w:rsid w:val="008E780D"/>
    <w:rsid w:val="00920ABE"/>
    <w:rsid w:val="009477AE"/>
    <w:rsid w:val="00956871"/>
    <w:rsid w:val="00964C01"/>
    <w:rsid w:val="009830A2"/>
    <w:rsid w:val="00983FAA"/>
    <w:rsid w:val="0098733D"/>
    <w:rsid w:val="00994D2A"/>
    <w:rsid w:val="00996CDB"/>
    <w:rsid w:val="009B0950"/>
    <w:rsid w:val="009C67A0"/>
    <w:rsid w:val="009F5C73"/>
    <w:rsid w:val="00A024D0"/>
    <w:rsid w:val="00A12494"/>
    <w:rsid w:val="00A2390A"/>
    <w:rsid w:val="00A32891"/>
    <w:rsid w:val="00A64E05"/>
    <w:rsid w:val="00A7380F"/>
    <w:rsid w:val="00A80303"/>
    <w:rsid w:val="00A93918"/>
    <w:rsid w:val="00A94EA8"/>
    <w:rsid w:val="00A96777"/>
    <w:rsid w:val="00AB2C38"/>
    <w:rsid w:val="00AC3337"/>
    <w:rsid w:val="00AD0177"/>
    <w:rsid w:val="00AD1FA2"/>
    <w:rsid w:val="00AD35F9"/>
    <w:rsid w:val="00AE7B30"/>
    <w:rsid w:val="00AF5B43"/>
    <w:rsid w:val="00B1651A"/>
    <w:rsid w:val="00B37DDE"/>
    <w:rsid w:val="00B5078E"/>
    <w:rsid w:val="00B51BCB"/>
    <w:rsid w:val="00BA1508"/>
    <w:rsid w:val="00BC035D"/>
    <w:rsid w:val="00BD3FB2"/>
    <w:rsid w:val="00BE4EEB"/>
    <w:rsid w:val="00BF19EB"/>
    <w:rsid w:val="00C121FA"/>
    <w:rsid w:val="00C23B73"/>
    <w:rsid w:val="00C5434D"/>
    <w:rsid w:val="00C55FE3"/>
    <w:rsid w:val="00CC4F68"/>
    <w:rsid w:val="00CE7F20"/>
    <w:rsid w:val="00D21766"/>
    <w:rsid w:val="00D343EE"/>
    <w:rsid w:val="00D44826"/>
    <w:rsid w:val="00D558C2"/>
    <w:rsid w:val="00D64B6E"/>
    <w:rsid w:val="00DA0670"/>
    <w:rsid w:val="00DA6375"/>
    <w:rsid w:val="00DB4892"/>
    <w:rsid w:val="00DD3C65"/>
    <w:rsid w:val="00E05CE2"/>
    <w:rsid w:val="00E1617D"/>
    <w:rsid w:val="00E342AA"/>
    <w:rsid w:val="00E56353"/>
    <w:rsid w:val="00E60CB3"/>
    <w:rsid w:val="00E860F8"/>
    <w:rsid w:val="00E9535A"/>
    <w:rsid w:val="00EB4485"/>
    <w:rsid w:val="00ED1D7B"/>
    <w:rsid w:val="00ED495D"/>
    <w:rsid w:val="00EE5309"/>
    <w:rsid w:val="00EE65EB"/>
    <w:rsid w:val="00F04463"/>
    <w:rsid w:val="00F357FD"/>
    <w:rsid w:val="00F4137A"/>
    <w:rsid w:val="00F50CD4"/>
    <w:rsid w:val="00F5418D"/>
    <w:rsid w:val="00F703A9"/>
    <w:rsid w:val="00F874D1"/>
    <w:rsid w:val="00FA15CE"/>
    <w:rsid w:val="00FA2E5C"/>
    <w:rsid w:val="00FA7EAF"/>
    <w:rsid w:val="00FB5875"/>
    <w:rsid w:val="00FC4A93"/>
    <w:rsid w:val="00FD2509"/>
    <w:rsid w:val="00FE1585"/>
    <w:rsid w:val="02657935"/>
    <w:rsid w:val="170C22A0"/>
    <w:rsid w:val="2E9C46E8"/>
    <w:rsid w:val="31D07B97"/>
    <w:rsid w:val="480D766D"/>
    <w:rsid w:val="4B9F49AB"/>
    <w:rsid w:val="4CA76631"/>
    <w:rsid w:val="4EFF5533"/>
    <w:rsid w:val="57FF647C"/>
    <w:rsid w:val="60786AD6"/>
    <w:rsid w:val="69F87810"/>
    <w:rsid w:val="6C105404"/>
    <w:rsid w:val="6EBA68ED"/>
    <w:rsid w:val="760F2B6F"/>
    <w:rsid w:val="76C77991"/>
    <w:rsid w:val="7D59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rFonts w:eastAsia="方正仿宋简体"/>
      <w:kern w:val="44"/>
      <w:sz w:val="32"/>
    </w:rPr>
  </w:style>
  <w:style w:type="paragraph" w:styleId="3">
    <w:name w:val="heading 2"/>
    <w:basedOn w:val="1"/>
    <w:next w:val="1"/>
    <w:semiHidden/>
    <w:unhideWhenUsed/>
    <w:qFormat/>
    <w:uiPriority w:val="9"/>
    <w:pPr>
      <w:spacing w:before="0" w:beforeAutospacing="1" w:after="0" w:afterAutospacing="1"/>
      <w:jc w:val="right"/>
      <w:outlineLvl w:val="1"/>
    </w:pPr>
    <w:rPr>
      <w:rFonts w:hint="eastAsia" w:ascii="Times New Roman" w:hAnsi="Times New Roman" w:eastAsia="方正仿宋简体" w:cs="宋体"/>
      <w:kern w:val="0"/>
      <w:sz w:val="32"/>
      <w:szCs w:val="36"/>
      <w:lang w:bidi="ar"/>
    </w:rPr>
  </w:style>
  <w:style w:type="paragraph" w:styleId="4">
    <w:name w:val="heading 3"/>
    <w:basedOn w:val="1"/>
    <w:next w:val="1"/>
    <w:semiHidden/>
    <w:unhideWhenUsed/>
    <w:qFormat/>
    <w:uiPriority w:val="9"/>
    <w:pPr>
      <w:keepNext/>
      <w:keepLines/>
      <w:spacing w:before="260" w:beforeLines="0" w:beforeAutospacing="0" w:after="260" w:afterLines="0" w:afterAutospacing="0" w:line="413" w:lineRule="auto"/>
      <w:jc w:val="center"/>
      <w:outlineLvl w:val="2"/>
    </w:pPr>
    <w:rPr>
      <w:rFonts w:ascii="方正小标宋简体" w:hAnsi="方正小标宋简体" w:eastAsia="方正小标宋简体"/>
      <w:sz w:val="44"/>
    </w:rPr>
  </w:style>
  <w:style w:type="paragraph" w:styleId="5">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方正黑体简体" w:hAnsi="方正黑体简体" w:eastAsia="方正黑体简体"/>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footer"/>
    <w:basedOn w:val="1"/>
    <w:link w:val="11"/>
    <w:uiPriority w:val="99"/>
    <w:pPr>
      <w:tabs>
        <w:tab w:val="center" w:pos="4153"/>
        <w:tab w:val="right" w:pos="8306"/>
      </w:tabs>
      <w:snapToGrid w:val="0"/>
      <w:jc w:val="left"/>
    </w:pPr>
    <w:rPr>
      <w:sz w:val="18"/>
      <w:szCs w:val="18"/>
    </w:rPr>
  </w:style>
  <w:style w:type="paragraph" w:styleId="7">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1">
    <w:name w:val="页脚 Char"/>
    <w:basedOn w:val="10"/>
    <w:link w:val="6"/>
    <w:uiPriority w:val="99"/>
    <w:rPr>
      <w:rFonts w:ascii="Calibri" w:hAnsi="Calibri" w:eastAsia="宋体" w:cs="Times New Roman"/>
      <w:sz w:val="18"/>
      <w:szCs w:val="18"/>
    </w:rPr>
  </w:style>
  <w:style w:type="character" w:customStyle="1" w:styleId="12">
    <w:name w:val="页眉 Char"/>
    <w:basedOn w:val="10"/>
    <w:link w:val="7"/>
    <w:semiHidden/>
    <w:uiPriority w:val="99"/>
    <w:rPr>
      <w:rFonts w:ascii="Calibri" w:hAnsi="Calibri" w:eastAsia="宋体" w:cs="Times New Roman"/>
      <w:sz w:val="18"/>
      <w:szCs w:val="18"/>
    </w:rPr>
  </w:style>
  <w:style w:type="character" w:customStyle="1" w:styleId="13">
    <w:name w:val="font01"/>
    <w:uiPriority w:val="0"/>
    <w:rPr>
      <w:rFonts w:hint="default" w:ascii="font-weight : 400" w:hAnsi="font-weight : 400" w:eastAsia="font-weight : 400" w:cs="font-weight : 400"/>
      <w:color w:val="000000"/>
      <w:sz w:val="22"/>
      <w:szCs w:val="22"/>
      <w:u w:val="none"/>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Char Char Char Char Char Char Char Char Char Char Char Char Char"/>
    <w:basedOn w:val="1"/>
    <w:uiPriority w:val="0"/>
    <w:pPr>
      <w:ind w:firstLine="627" w:firstLineChars="196"/>
    </w:pPr>
    <w:rPr>
      <w:rFonts w:ascii="仿宋_GB2312" w:hAnsi="宋体"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2021-09-02T00:37:00Z</dcterms:created>
  <dc:creator>成歩堂龍二</dc:creator>
  <cp:lastModifiedBy>成歩堂龍二</cp:lastModifiedBy>
  <dcterms:modified xsi:type="dcterms:W3CDTF">2021-09-02T00:38:11Z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8F641AA3481E48E19631A9EF8E8301BF</vt:lpwstr>
  </property>
</Properties>
</file>