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B47C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color w:val="auto"/>
          <w:kern w:val="2"/>
          <w:sz w:val="44"/>
          <w:szCs w:val="44"/>
          <w:lang w:val="en-US" w:eastAsia="zh-CN" w:bidi="ar-SA"/>
        </w:rPr>
      </w:pPr>
    </w:p>
    <w:p w14:paraId="71FB21D9">
      <w:pPr>
        <w:pStyle w:val="4"/>
        <w:rPr>
          <w:rFonts w:hint="eastAsia" w:ascii="宋体" w:hAnsi="宋体" w:eastAsia="宋体" w:cs="宋体"/>
          <w:b w:val="0"/>
          <w:color w:val="auto"/>
          <w:kern w:val="2"/>
          <w:sz w:val="44"/>
          <w:szCs w:val="44"/>
          <w:lang w:val="en-US" w:eastAsia="zh-CN" w:bidi="ar-SA"/>
        </w:rPr>
      </w:pPr>
    </w:p>
    <w:p w14:paraId="3D06FB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云南省农业农村厅关于印发《云南省小型生猪屠宰场点管理办法》的通知</w:t>
      </w:r>
    </w:p>
    <w:p w14:paraId="78AA873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云农规〔202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号</w:t>
      </w:r>
    </w:p>
    <w:p w14:paraId="1B5F31E5">
      <w:pPr>
        <w:pStyle w:val="4"/>
        <w:rPr>
          <w:rFonts w:hint="eastAsia" w:ascii="仿宋_GB2312" w:hAnsi="仿宋_GB2312" w:eastAsia="仿宋_GB2312" w:cs="仿宋_GB2312"/>
          <w:sz w:val="32"/>
          <w:szCs w:val="32"/>
        </w:rPr>
      </w:pPr>
    </w:p>
    <w:p w14:paraId="21C9B4AA">
      <w:pPr>
        <w:rPr>
          <w:rFonts w:hint="eastAsia"/>
        </w:rPr>
      </w:pPr>
    </w:p>
    <w:p w14:paraId="20AE4C39">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各州（市）农业农村局：</w:t>
      </w:r>
    </w:p>
    <w:p w14:paraId="2E3712A2">
      <w:pPr>
        <w:pStyle w:val="7"/>
        <w:keepNext w:val="0"/>
        <w:keepLines w:val="0"/>
        <w:widowControl/>
        <w:suppressLineNumbers w:val="0"/>
        <w:ind w:left="0" w:firstLine="420"/>
        <w:rPr>
          <w:rFonts w:hint="eastAsia" w:ascii="仿宋" w:hAnsi="仿宋" w:eastAsia="仿宋" w:cs="仿宋"/>
          <w:sz w:val="32"/>
          <w:szCs w:val="32"/>
          <w:lang w:eastAsia="zh-CN"/>
        </w:rPr>
      </w:pPr>
      <w:r>
        <w:rPr>
          <w:rFonts w:hint="eastAsia" w:ascii="仿宋" w:hAnsi="仿宋" w:eastAsia="仿宋" w:cs="仿宋"/>
          <w:sz w:val="32"/>
          <w:szCs w:val="32"/>
        </w:rPr>
        <w:t>现将《云南省小型生猪屠宰场点管理办法》印发</w:t>
      </w:r>
      <w:r>
        <w:rPr>
          <w:rFonts w:hint="eastAsia" w:ascii="仿宋" w:hAnsi="仿宋" w:eastAsia="仿宋" w:cs="仿宋"/>
          <w:sz w:val="32"/>
          <w:szCs w:val="32"/>
          <w:lang w:val="en-US" w:eastAsia="zh-CN"/>
        </w:rPr>
        <w:t>给</w:t>
      </w:r>
      <w:r>
        <w:rPr>
          <w:rFonts w:hint="eastAsia" w:ascii="仿宋" w:hAnsi="仿宋" w:eastAsia="仿宋" w:cs="仿宋"/>
          <w:sz w:val="32"/>
          <w:szCs w:val="32"/>
        </w:rPr>
        <w:t>你们，请结合实际抓好贯彻落实</w:t>
      </w:r>
      <w:r>
        <w:rPr>
          <w:rFonts w:hint="eastAsia" w:ascii="仿宋" w:hAnsi="仿宋" w:eastAsia="仿宋" w:cs="仿宋"/>
          <w:sz w:val="32"/>
          <w:szCs w:val="32"/>
          <w:lang w:eastAsia="zh-CN"/>
        </w:rPr>
        <w:t>。</w:t>
      </w:r>
    </w:p>
    <w:p w14:paraId="0DA575E1">
      <w:pPr>
        <w:pStyle w:val="7"/>
        <w:keepNext w:val="0"/>
        <w:keepLines w:val="0"/>
        <w:widowControl/>
        <w:suppressLineNumbers w:val="0"/>
        <w:ind w:left="0" w:firstLine="420"/>
        <w:rPr>
          <w:rFonts w:hint="eastAsia" w:ascii="仿宋" w:hAnsi="仿宋" w:eastAsia="仿宋" w:cs="仿宋"/>
          <w:sz w:val="32"/>
          <w:szCs w:val="32"/>
          <w:lang w:eastAsia="zh-CN"/>
        </w:rPr>
      </w:pPr>
    </w:p>
    <w:p w14:paraId="22EC965A">
      <w:pPr>
        <w:pStyle w:val="7"/>
        <w:keepNext w:val="0"/>
        <w:keepLines w:val="0"/>
        <w:widowControl/>
        <w:suppressLineNumbers w:val="0"/>
        <w:ind w:left="0" w:firstLine="420"/>
        <w:rPr>
          <w:rFonts w:hint="eastAsia" w:ascii="仿宋" w:hAnsi="仿宋" w:eastAsia="仿宋" w:cs="仿宋"/>
          <w:sz w:val="32"/>
          <w:szCs w:val="32"/>
          <w:lang w:eastAsia="zh-CN"/>
        </w:rPr>
      </w:pPr>
    </w:p>
    <w:p w14:paraId="1A0C0058">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云南省农业农村厅</w:t>
      </w:r>
    </w:p>
    <w:p w14:paraId="5F6976D4">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2025年</w:t>
      </w:r>
      <w:r>
        <w:rPr>
          <w:rFonts w:hint="eastAsia" w:ascii="仿宋" w:hAnsi="仿宋" w:eastAsia="仿宋" w:cs="仿宋"/>
          <w:sz w:val="32"/>
          <w:szCs w:val="32"/>
          <w:lang w:val="en-US" w:eastAsia="zh-CN"/>
        </w:rPr>
        <w:t>12</w:t>
      </w:r>
      <w:r>
        <w:rPr>
          <w:rFonts w:hint="eastAsia" w:ascii="仿宋" w:hAnsi="仿宋" w:eastAsia="仿宋" w:cs="仿宋"/>
          <w:sz w:val="32"/>
          <w:szCs w:val="32"/>
        </w:rPr>
        <w:t>月2</w:t>
      </w:r>
      <w:r>
        <w:rPr>
          <w:rFonts w:hint="eastAsia" w:ascii="仿宋" w:hAnsi="仿宋" w:eastAsia="仿宋" w:cs="仿宋"/>
          <w:sz w:val="32"/>
          <w:szCs w:val="32"/>
          <w:lang w:val="en-US" w:eastAsia="zh-CN"/>
        </w:rPr>
        <w:t>6</w:t>
      </w:r>
      <w:r>
        <w:rPr>
          <w:rFonts w:hint="eastAsia" w:ascii="仿宋" w:hAnsi="仿宋" w:eastAsia="仿宋" w:cs="仿宋"/>
          <w:sz w:val="32"/>
          <w:szCs w:val="32"/>
        </w:rPr>
        <w:t>日</w:t>
      </w:r>
    </w:p>
    <w:p w14:paraId="663B7E1A">
      <w:pPr>
        <w:pStyle w:val="4"/>
        <w:rPr>
          <w:rFonts w:hint="default"/>
          <w:lang w:val="en-US" w:eastAsia="zh-CN"/>
        </w:rPr>
      </w:pPr>
      <w:r>
        <w:rPr>
          <w:rFonts w:hint="eastAsia" w:ascii="仿宋" w:hAnsi="仿宋" w:eastAsia="仿宋" w:cs="仿宋"/>
          <w:sz w:val="32"/>
          <w:szCs w:val="32"/>
          <w:lang w:val="en-US" w:eastAsia="zh-CN"/>
        </w:rPr>
        <w:t>（此件公开发布）</w:t>
      </w:r>
    </w:p>
    <w:p w14:paraId="06D371C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rPr>
      </w:pPr>
    </w:p>
    <w:p w14:paraId="1155ABA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color w:val="auto"/>
          <w:kern w:val="2"/>
          <w:sz w:val="44"/>
          <w:szCs w:val="44"/>
          <w:lang w:val="en-US" w:eastAsia="zh-CN" w:bidi="ar-SA"/>
        </w:rPr>
      </w:pPr>
    </w:p>
    <w:p w14:paraId="3BBA26B1">
      <w:pPr>
        <w:keepNext w:val="0"/>
        <w:keepLines w:val="0"/>
        <w:pageBreakBefore w:val="0"/>
        <w:widowControl w:val="0"/>
        <w:kinsoku/>
        <w:wordWrap/>
        <w:overflowPunct/>
        <w:topLinePunct w:val="0"/>
        <w:autoSpaceDE/>
        <w:autoSpaceDN/>
        <w:bidi w:val="0"/>
        <w:adjustRightInd/>
        <w:snapToGrid/>
        <w:spacing w:afterAutospacing="0" w:line="600" w:lineRule="exact"/>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云南省小型生猪屠宰场点管理办法</w:t>
      </w:r>
    </w:p>
    <w:p w14:paraId="375B3612">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黑体" w:hAnsi="黑体" w:eastAsia="黑体" w:cs="黑体"/>
          <w:sz w:val="32"/>
          <w:szCs w:val="32"/>
        </w:rPr>
      </w:pPr>
    </w:p>
    <w:p w14:paraId="4B043CF1">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第一条</w:t>
      </w:r>
      <w:r>
        <w:rPr>
          <w:rFonts w:hint="eastAsia" w:ascii="仿宋" w:hAnsi="仿宋" w:eastAsia="仿宋" w:cs="仿宋"/>
          <w:sz w:val="32"/>
          <w:szCs w:val="32"/>
        </w:rPr>
        <w:t>　为了规范小型生猪屠宰场点管理，保障边远和交通不便的农村地区生猪产品供给和质量安全，根据《中华人民共和国畜牧法》《中华人民共和国动物防疫法》《生猪屠宰管理条例》《云南省生猪屠宰行业发展规划（2022—2030年）》等</w:t>
      </w:r>
      <w:bookmarkStart w:id="0" w:name="_GoBack"/>
      <w:bookmarkEnd w:id="0"/>
      <w:r>
        <w:rPr>
          <w:rFonts w:hint="eastAsia" w:ascii="仿宋" w:hAnsi="仿宋" w:eastAsia="仿宋" w:cs="仿宋"/>
          <w:sz w:val="32"/>
          <w:szCs w:val="32"/>
          <w:lang w:val="en-US" w:eastAsia="zh-CN"/>
        </w:rPr>
        <w:t>文件</w:t>
      </w:r>
      <w:r>
        <w:rPr>
          <w:rFonts w:hint="eastAsia" w:ascii="仿宋" w:hAnsi="仿宋" w:eastAsia="仿宋" w:cs="仿宋"/>
          <w:sz w:val="32"/>
          <w:szCs w:val="32"/>
        </w:rPr>
        <w:t>，结合本省实际，制定本办法。</w:t>
      </w:r>
    </w:p>
    <w:p w14:paraId="5DD5130C">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第二条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在本省行政区域内小型生猪屠宰场点的设置及监督管理活动，适用本办法。</w:t>
      </w:r>
    </w:p>
    <w:p w14:paraId="4AB54AC6">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本办法所称小型生猪屠宰场点，是指在边远和交通不便的农村地区设置的，仅向本地市场供应生猪产品的小型屠宰场点。</w:t>
      </w:r>
    </w:p>
    <w:p w14:paraId="657A536B">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本办法所称边远和交通不便的农村地区，是指距县城80公里以上或者车程120分钟以上，无法通过配送保障肉品供应的乡镇。</w:t>
      </w:r>
    </w:p>
    <w:p w14:paraId="72E4C5C5">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本办法所称本地市场范围，是指小型生猪屠宰场点所在乡镇、周边未设置屠宰场点的边远和交通不便乡镇。</w:t>
      </w:r>
    </w:p>
    <w:p w14:paraId="148A95FB">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第三条</w:t>
      </w:r>
      <w:r>
        <w:rPr>
          <w:rFonts w:hint="eastAsia" w:ascii="仿宋" w:hAnsi="仿宋" w:eastAsia="仿宋" w:cs="仿宋"/>
          <w:sz w:val="32"/>
          <w:szCs w:val="32"/>
        </w:rPr>
        <w:t>　县级以上人民政府农业农村主管部门负责本行政区域内小型生猪屠宰场点生猪屠宰活动的监督管理。</w:t>
      </w:r>
    </w:p>
    <w:p w14:paraId="7E60C1A8">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第四条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州（市）人民政府农业农村主管部门应当根据生猪屠宰行业发展规划，按照方便群众、优化布局、保障供给的原则，结合本地区人口规模、交通运输、冷链配送等情况，制定小型生</w:t>
      </w:r>
      <w:r>
        <w:rPr>
          <w:rFonts w:hint="eastAsia" w:ascii="仿宋" w:hAnsi="仿宋" w:eastAsia="仿宋" w:cs="仿宋"/>
          <w:sz w:val="32"/>
          <w:szCs w:val="32"/>
          <w:lang w:val="en-US" w:eastAsia="zh-CN"/>
        </w:rPr>
        <w:t>猪屠宰场点设置实施方案，合理控制设置的区域和数量规模，经征求省人民政府农业农村主管部门意见并报本级人民政府批准后实施。</w:t>
      </w:r>
    </w:p>
    <w:p w14:paraId="3AD00EF1">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条</w:t>
      </w:r>
      <w:r>
        <w:rPr>
          <w:rFonts w:hint="eastAsia" w:ascii="仿宋" w:hAnsi="仿宋" w:eastAsia="仿宋" w:cs="仿宋"/>
          <w:sz w:val="32"/>
          <w:szCs w:val="32"/>
        </w:rPr>
        <w:t>　对冷链配送已覆盖并能稳定保障肉品供应的区域，不得新设小型生猪屠宰场点。交</w:t>
      </w:r>
      <w:r>
        <w:rPr>
          <w:rFonts w:hint="eastAsia" w:ascii="仿宋" w:hAnsi="仿宋" w:eastAsia="仿宋" w:cs="仿宋"/>
          <w:kern w:val="2"/>
          <w:sz w:val="32"/>
          <w:szCs w:val="32"/>
          <w:lang w:val="en-US" w:eastAsia="zh-CN" w:bidi="ar-SA"/>
        </w:rPr>
        <w:t>通条件改善、配送体系健全的地区应逐步取消小型生猪屠宰场点。</w:t>
      </w:r>
    </w:p>
    <w:p w14:paraId="22304A28">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条</w:t>
      </w:r>
      <w:r>
        <w:rPr>
          <w:rFonts w:hint="eastAsia" w:ascii="黑体" w:hAnsi="黑体" w:eastAsia="黑体" w:cs="黑体"/>
          <w:sz w:val="30"/>
          <w:szCs w:val="30"/>
        </w:rPr>
        <w:t>　</w:t>
      </w:r>
      <w:r>
        <w:rPr>
          <w:rFonts w:hint="eastAsia" w:ascii="仿宋" w:hAnsi="仿宋" w:eastAsia="仿宋" w:cs="仿宋"/>
          <w:kern w:val="2"/>
          <w:sz w:val="32"/>
          <w:szCs w:val="32"/>
          <w:lang w:val="en-US" w:eastAsia="zh-CN" w:bidi="ar-SA"/>
        </w:rPr>
        <w:t>小型生猪屠宰场点选址和设置应当符合生态环境保护、动物疫病防控等法律法规的规定和国土空间规划等要求，同时符合以下条件：</w:t>
      </w:r>
    </w:p>
    <w:p w14:paraId="220D49D7">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（一）有与屠宰规模相适应、水质符合国家规定标准的水源条件；</w:t>
      </w:r>
    </w:p>
    <w:p w14:paraId="662C63C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（二）有与屠宰规模相适应的待宰间、屠宰间、急宰间、检验室以及生猪屠宰设备和运载工具；</w:t>
      </w:r>
    </w:p>
    <w:p w14:paraId="5C67EAF6">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（三）有依法取得健康证明的屠宰技术人员；</w:t>
      </w:r>
    </w:p>
    <w:p w14:paraId="554B984D">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（四）有经考核合格的兽医卫生检验人员；</w:t>
      </w:r>
    </w:p>
    <w:p w14:paraId="77B66EB2">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（五）有符合国家规定要求的检验设备、消毒设施以及符合环境保护要求的污染防治设施；</w:t>
      </w:r>
    </w:p>
    <w:p w14:paraId="7906EA95">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（六）有病害生猪及生猪产品无害化处理设施，或签订无害化处理委托协议；</w:t>
      </w:r>
    </w:p>
    <w:p w14:paraId="2A8B2923">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（七）依法取得动物防疫条件合格证。</w:t>
      </w:r>
    </w:p>
    <w:p w14:paraId="38558CC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黑体" w:hAnsi="黑体" w:eastAsia="黑体" w:cs="黑体"/>
          <w:sz w:val="32"/>
          <w:szCs w:val="32"/>
          <w:lang w:val="en-US" w:eastAsia="zh-CN"/>
        </w:rPr>
        <w:t>　</w:t>
      </w:r>
      <w:r>
        <w:rPr>
          <w:rFonts w:hint="eastAsia" w:ascii="仿宋" w:hAnsi="仿宋" w:eastAsia="仿宋" w:cs="仿宋"/>
          <w:sz w:val="32"/>
          <w:szCs w:val="32"/>
          <w:lang w:val="en-US" w:eastAsia="zh-CN"/>
        </w:rPr>
        <w:t>小型生猪屠宰场点的设置，应当由申请人向县人民政府农业农村主管部门提出申请，按照县级初审、州（市）审批的程序，由州（市）人民政府农业农村主管部门报本级人民政府批准。</w:t>
      </w:r>
    </w:p>
    <w:p w14:paraId="6ED0A392">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sz w:val="32"/>
          <w:szCs w:val="32"/>
          <w:lang w:val="en-US" w:eastAsia="zh-CN"/>
        </w:rPr>
        <w:t>小型生猪屠宰场点建设竣工后，由州（市）人民政府农业农村主管部门组织验收，验收合格后报州（市）人民政府核发小型生猪屠宰场点证书和标志牌。小型生猪屠宰场点证书应当载明有效期限和销售范围。小型生猪屠宰场点名单应当向社会公布，并报省人民政府农业农村主管部门。</w:t>
      </w:r>
    </w:p>
    <w:p w14:paraId="2ECD6DCC">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第九条</w:t>
      </w:r>
      <w:r>
        <w:rPr>
          <w:rFonts w:hint="eastAsia" w:ascii="仿宋" w:hAnsi="仿宋" w:eastAsia="仿宋" w:cs="仿宋"/>
          <w:sz w:val="32"/>
          <w:szCs w:val="32"/>
          <w:lang w:val="en-US" w:eastAsia="zh-CN"/>
        </w:rPr>
        <w:t>　小型生猪屠宰场点应当严格执行《生猪屠宰管理条例》《生猪屠宰质量管理规范》等法规规章，依法开展生猪进场查验、屠宰操作、肉品品质检验、产品出场记录、产品质量安全、产品召回及无害化处理等活动，保障生猪产品质量安全。</w:t>
      </w:r>
    </w:p>
    <w:p w14:paraId="76ACE565">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rPr>
        <w:t>第十条</w:t>
      </w:r>
      <w:r>
        <w:rPr>
          <w:rFonts w:hint="eastAsia" w:ascii="仿宋" w:hAnsi="仿宋" w:eastAsia="仿宋" w:cs="仿宋"/>
          <w:sz w:val="32"/>
          <w:szCs w:val="32"/>
        </w:rPr>
        <w:t>　</w:t>
      </w:r>
      <w:r>
        <w:rPr>
          <w:rFonts w:hint="eastAsia" w:ascii="仿宋" w:hAnsi="仿宋" w:eastAsia="仿宋" w:cs="仿宋"/>
          <w:kern w:val="2"/>
          <w:sz w:val="32"/>
          <w:szCs w:val="32"/>
          <w:lang w:val="en-US" w:eastAsia="zh-CN" w:bidi="ar-SA"/>
        </w:rPr>
        <w:t>小型生猪屠宰场点生猪屠宰的检疫及防疫监督，依照《中华人民共和国动物防疫法》及相关规定执行。县级动物卫生监督机构应当向小型生猪屠宰场点派驻符合要求的官方兽医实施屠宰检疫。</w:t>
      </w:r>
    </w:p>
    <w:p w14:paraId="54C852B2">
      <w:pPr>
        <w:pStyle w:val="7"/>
        <w:keepNext w:val="0"/>
        <w:keepLines w:val="0"/>
        <w:widowControl/>
        <w:suppressLineNumbers w:val="0"/>
        <w:ind w:left="0" w:firstLine="420"/>
        <w:rPr>
          <w:rFonts w:hint="eastAsia" w:ascii="仿宋" w:hAnsi="仿宋" w:eastAsia="仿宋" w:cs="仿宋"/>
          <w:kern w:val="2"/>
          <w:sz w:val="32"/>
          <w:szCs w:val="32"/>
          <w:lang w:val="en-US" w:eastAsia="zh-CN" w:bidi="ar-SA"/>
        </w:rPr>
      </w:pPr>
      <w:r>
        <w:rPr>
          <w:rFonts w:hint="eastAsia" w:ascii="黑体" w:hAnsi="黑体" w:eastAsia="黑体" w:cs="黑体"/>
          <w:sz w:val="32"/>
          <w:szCs w:val="32"/>
          <w:lang w:val="en-US" w:eastAsia="zh-CN"/>
        </w:rPr>
        <w:t>第十一条</w:t>
      </w:r>
      <w:r>
        <w:rPr>
          <w:rFonts w:hint="eastAsia" w:ascii="仿宋" w:hAnsi="仿宋" w:eastAsia="仿宋" w:cs="仿宋"/>
          <w:sz w:val="32"/>
          <w:szCs w:val="32"/>
          <w:lang w:val="en-US" w:eastAsia="zh-CN"/>
        </w:rPr>
        <w:t>　</w:t>
      </w:r>
      <w:r>
        <w:rPr>
          <w:rFonts w:hint="eastAsia" w:ascii="仿宋" w:hAnsi="仿宋" w:eastAsia="仿宋" w:cs="仿宋"/>
          <w:kern w:val="2"/>
          <w:sz w:val="32"/>
          <w:szCs w:val="32"/>
          <w:lang w:val="en-US" w:eastAsia="zh-CN" w:bidi="ar-SA"/>
        </w:rPr>
        <w:t>县级以上人民政府农业农村主管部门应当制定并组织实施小型生猪屠宰场点生猪产品质量安全风险监测计划，定期开展风险评估。</w:t>
      </w:r>
    </w:p>
    <w:p w14:paraId="131621DC">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lang w:val="en-US" w:eastAsia="zh-CN"/>
        </w:rPr>
      </w:pPr>
      <w:r>
        <w:rPr>
          <w:rFonts w:hint="eastAsia" w:ascii="黑体" w:hAnsi="黑体" w:eastAsia="黑体" w:cs="黑体"/>
          <w:sz w:val="32"/>
          <w:szCs w:val="32"/>
        </w:rPr>
        <w:t>第十</w:t>
      </w:r>
      <w:r>
        <w:rPr>
          <w:rFonts w:hint="eastAsia" w:ascii="黑体" w:hAnsi="黑体" w:eastAsia="黑体" w:cs="黑体"/>
          <w:sz w:val="32"/>
          <w:szCs w:val="32"/>
          <w:lang w:val="en-US" w:eastAsia="zh-CN"/>
        </w:rPr>
        <w:t>二</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sz w:val="32"/>
          <w:szCs w:val="32"/>
          <w:lang w:val="en-US" w:eastAsia="zh-CN"/>
        </w:rPr>
        <w:t>小型生猪屠宰场点应当加强质量安全管理，完善追溯监管体系，提升产品质量安全水平，并按照要求在全国畜禽屠宰行业管理系统登记相关信息。</w:t>
      </w:r>
    </w:p>
    <w:p w14:paraId="15EC3C21">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第十三条　</w:t>
      </w:r>
      <w:r>
        <w:rPr>
          <w:rFonts w:hint="eastAsia" w:ascii="仿宋" w:hAnsi="仿宋" w:eastAsia="仿宋" w:cs="仿宋"/>
          <w:sz w:val="32"/>
          <w:szCs w:val="32"/>
        </w:rPr>
        <w:t>州（市）人民政府农业农村主管部门应当定期组织对本行政区域内的小型生猪屠宰场点进行综合评估，不符合本办法第二条、第六条规定的，应当及时报本级人民政府批准后依法办理注销手续。</w:t>
      </w:r>
    </w:p>
    <w:p w14:paraId="406806E5">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第十四条</w:t>
      </w:r>
      <w:r>
        <w:rPr>
          <w:rFonts w:hint="eastAsia" w:ascii="仿宋" w:hAnsi="仿宋" w:eastAsia="仿宋" w:cs="仿宋"/>
          <w:sz w:val="32"/>
          <w:szCs w:val="32"/>
        </w:rPr>
        <w:t>　在小型生猪屠宰场点供应生猪产品的地区，任何单位和个人不得违法限制其他合法生猪定点屠宰厂（场）经检疫和肉品品质检验合格的生猪产品进入本地市场。</w:t>
      </w:r>
    </w:p>
    <w:p w14:paraId="7CD27B51">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rPr>
      </w:pPr>
      <w:r>
        <w:rPr>
          <w:rFonts w:hint="eastAsia" w:ascii="黑体" w:hAnsi="黑体" w:eastAsia="黑体" w:cs="黑体"/>
          <w:sz w:val="32"/>
          <w:szCs w:val="32"/>
        </w:rPr>
        <w:t>第十五条</w:t>
      </w:r>
      <w:r>
        <w:rPr>
          <w:rFonts w:hint="eastAsia" w:ascii="仿宋" w:hAnsi="仿宋" w:eastAsia="仿宋" w:cs="仿宋"/>
          <w:sz w:val="32"/>
          <w:szCs w:val="32"/>
        </w:rPr>
        <w:t>　本办法自2026年1月1日起施行，有效期5年。</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altName w:val="宋体"/>
    <w:panose1 w:val="02010601030101010101"/>
    <w:charset w:val="86"/>
    <w:family w:val="script"/>
    <w:pitch w:val="default"/>
    <w:sig w:usb0="00000000" w:usb1="00000000" w:usb2="00000000" w:usb3="00000000" w:csb0="00040000"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651A4">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DC93F86">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DC93F86">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14:paraId="750C7BF8">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农业农村厅</w:t>
    </w:r>
    <w:r>
      <w:rPr>
        <w:rFonts w:hint="eastAsia" w:ascii="宋体" w:hAnsi="宋体" w:eastAsia="宋体" w:cs="宋体"/>
        <w:b/>
        <w:bCs/>
        <w:color w:val="005192"/>
        <w:sz w:val="28"/>
        <w:szCs w:val="44"/>
        <w:lang w:val="en-US" w:eastAsia="zh-CN"/>
      </w:rPr>
      <w:t>发布　　</w:t>
    </w:r>
    <w:r>
      <w:rPr>
        <w:rFonts w:hint="eastAsia" w:ascii="宋体" w:hAnsi="宋体" w:cs="宋体"/>
        <w:b/>
        <w:bCs/>
        <w:color w:val="005192"/>
        <w:sz w:val="28"/>
        <w:szCs w:val="44"/>
        <w:lang w:val="en-US" w:eastAsia="zh-CN"/>
      </w:rPr>
      <w:t>　</w:t>
    </w:r>
  </w:p>
  <w:p w14:paraId="66614661">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B1FAB">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6CFEC072">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农业农村厅行政规范性文件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ZWE4MThkM2E0YjIwYWQ2YzIxM2ExNzdkYTNkZTIifQ=="/>
  </w:docVars>
  <w:rsids>
    <w:rsidRoot w:val="41271887"/>
    <w:rsid w:val="03CB34A5"/>
    <w:rsid w:val="06BA219F"/>
    <w:rsid w:val="13876467"/>
    <w:rsid w:val="13B7301E"/>
    <w:rsid w:val="161377E5"/>
    <w:rsid w:val="1BE77E62"/>
    <w:rsid w:val="1E262B21"/>
    <w:rsid w:val="20EC75B1"/>
    <w:rsid w:val="2122444F"/>
    <w:rsid w:val="28202EFB"/>
    <w:rsid w:val="2AB97025"/>
    <w:rsid w:val="2C1A5D88"/>
    <w:rsid w:val="2EC57D0F"/>
    <w:rsid w:val="32CD697B"/>
    <w:rsid w:val="333746BC"/>
    <w:rsid w:val="345C4804"/>
    <w:rsid w:val="3AE9474C"/>
    <w:rsid w:val="3CAE535E"/>
    <w:rsid w:val="3CF457D8"/>
    <w:rsid w:val="3E033583"/>
    <w:rsid w:val="3EC57B5F"/>
    <w:rsid w:val="3F334495"/>
    <w:rsid w:val="41271887"/>
    <w:rsid w:val="43CC5F7A"/>
    <w:rsid w:val="44594917"/>
    <w:rsid w:val="47F5693D"/>
    <w:rsid w:val="491D214E"/>
    <w:rsid w:val="4EE65781"/>
    <w:rsid w:val="50BD4270"/>
    <w:rsid w:val="58481905"/>
    <w:rsid w:val="5ACA4BCC"/>
    <w:rsid w:val="67D57A24"/>
    <w:rsid w:val="69D33F82"/>
    <w:rsid w:val="6BF77D04"/>
    <w:rsid w:val="6EA83DAB"/>
    <w:rsid w:val="78516CF2"/>
    <w:rsid w:val="7CC6382B"/>
    <w:rsid w:val="7F0A6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before="100" w:beforeLines="0" w:beforeAutospacing="1" w:after="100" w:afterLines="0" w:afterAutospacing="1"/>
      <w:jc w:val="left"/>
      <w:outlineLvl w:val="1"/>
    </w:pPr>
    <w:rPr>
      <w:rFonts w:hint="eastAsia" w:ascii="宋体" w:hAnsi="宋体" w:eastAsia="宋体" w:cs="宋体"/>
      <w:b/>
      <w:kern w:val="0"/>
      <w:sz w:val="36"/>
      <w:szCs w:val="36"/>
      <w:lang w:val="en-US" w:eastAsia="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keepNext/>
      <w:keepLines/>
      <w:spacing w:line="560" w:lineRule="exact"/>
      <w:jc w:val="center"/>
      <w:textAlignment w:val="baseline"/>
    </w:pPr>
    <w:rPr>
      <w:rFonts w:ascii="Arial" w:hAnsi="Arial" w:eastAsia="方正楷体简体" w:cs="Times New Roman"/>
      <w:bCs/>
      <w:kern w:val="2"/>
      <w:sz w:val="36"/>
      <w:szCs w:val="32"/>
      <w:lang w:val="en-US" w:eastAsia="zh-CN" w:bidi="ar-SA"/>
    </w:rPr>
  </w:style>
  <w:style w:type="paragraph" w:styleId="4">
    <w:name w:val="toa heading"/>
    <w:basedOn w:val="1"/>
    <w:next w:val="1"/>
    <w:qFormat/>
    <w:uiPriority w:val="0"/>
    <w:pPr>
      <w:spacing w:before="120" w:beforeLines="0" w:beforeAutospacing="0"/>
    </w:pPr>
    <w:rPr>
      <w:rFonts w:ascii="Arial" w:hAnsi="Arial"/>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 w:type="paragraph" w:customStyle="1" w:styleId="12">
    <w:name w:val="p1"/>
    <w:basedOn w:val="1"/>
    <w:qFormat/>
    <w:uiPriority w:val="0"/>
    <w:pPr>
      <w:widowControl/>
      <w:spacing w:before="100" w:beforeAutospacing="1" w:after="100" w:afterAutospacing="1"/>
      <w:jc w:val="left"/>
    </w:pPr>
    <w:rPr>
      <w:rFonts w:ascii="宋体" w:hAnsi="宋体" w:cs="宋体"/>
      <w:kern w:val="0"/>
      <w:sz w:val="24"/>
    </w:rPr>
  </w:style>
  <w:style w:type="character" w:customStyle="1" w:styleId="13">
    <w:name w:val="s1"/>
    <w:basedOn w:val="9"/>
    <w:qFormat/>
    <w:uiPriority w:val="0"/>
  </w:style>
  <w:style w:type="character" w:customStyle="1" w:styleId="14">
    <w:name w:val="s2"/>
    <w:basedOn w:val="9"/>
    <w:qFormat/>
    <w:uiPriority w:val="0"/>
  </w:style>
  <w:style w:type="character" w:customStyle="1" w:styleId="15">
    <w:name w:val="font61"/>
    <w:basedOn w:val="9"/>
    <w:qFormat/>
    <w:uiPriority w:val="0"/>
    <w:rPr>
      <w:rFonts w:hint="eastAsia" w:ascii="宋体" w:hAnsi="宋体" w:eastAsia="宋体" w:cs="宋体"/>
      <w:b/>
      <w:color w:val="000000"/>
      <w:sz w:val="44"/>
      <w:szCs w:val="44"/>
      <w:u w:val="none"/>
      <w:vertAlign w:val="superscript"/>
    </w:rPr>
  </w:style>
  <w:style w:type="character" w:customStyle="1" w:styleId="16">
    <w:name w:val="font11"/>
    <w:basedOn w:val="9"/>
    <w:qFormat/>
    <w:uiPriority w:val="0"/>
    <w:rPr>
      <w:rFonts w:hint="eastAsia" w:ascii="宋体" w:hAnsi="宋体" w:eastAsia="宋体" w:cs="宋体"/>
      <w:color w:val="000000"/>
      <w:sz w:val="24"/>
      <w:szCs w:val="24"/>
      <w:u w:val="none"/>
    </w:rPr>
  </w:style>
  <w:style w:type="character" w:customStyle="1" w:styleId="17">
    <w:name w:val="font81"/>
    <w:basedOn w:val="9"/>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1675</Words>
  <Characters>1695</Characters>
  <Lines>0</Lines>
  <Paragraphs>0</Paragraphs>
  <TotalTime>9</TotalTime>
  <ScaleCrop>false</ScaleCrop>
  <LinksUpToDate>false</LinksUpToDate>
  <CharactersWithSpaces>1710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2021-12-21T02:15:00Z</dcterms:created>
  <dc:creator>Dasiy_颖</dc:creator>
  <cp:lastModifiedBy>zyh</cp:lastModifiedBy>
  <dcterms:modified xsi:type="dcterms:W3CDTF">2025-12-29T10:00:29Z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26A18E4D30A1440EB462C74F50F8EC79_13</vt:lpwstr>
  </property>
  <property fmtid="{D5CDD505-2E9C-101B-9397-08002B2CF9AE}" pid="4" name="KSOTemplateDocerSaveRecord">
    <vt:lpwstr>eyJoZGlkIjoiYmI0OTBhMzA4Zjg4OTA2ZTJjZTc2MmQ4ZWY3OWViNDMiLCJ1c2VySWQiOiI0MTMxNzYxNDQifQ==</vt:lpwstr>
  </property>
</Properties>
</file>