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340C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jc w:val="left"/>
        <w:textAlignment w:val="auto"/>
        <w:rPr>
          <w:rFonts w:hint="eastAsia" w:ascii="国标黑体" w:hAnsi="国标黑体" w:eastAsia="国标黑体" w:cs="国标黑体"/>
          <w:sz w:val="28"/>
          <w:szCs w:val="28"/>
          <w:lang w:val="en-US" w:eastAsia="zh-CN"/>
        </w:rPr>
      </w:pPr>
      <w:bookmarkStart w:id="2" w:name="_GoBack"/>
      <w:bookmarkEnd w:id="2"/>
      <w:r>
        <w:rPr>
          <w:rFonts w:hint="eastAsia" w:ascii="国标黑体" w:hAnsi="国标黑体" w:eastAsia="国标黑体" w:cs="国标黑体"/>
          <w:sz w:val="28"/>
          <w:szCs w:val="28"/>
        </w:rPr>
        <w:t>附件</w:t>
      </w:r>
      <w:r>
        <w:rPr>
          <w:rFonts w:hint="eastAsia" w:ascii="国标黑体" w:hAnsi="国标黑体" w:eastAsia="国标黑体" w:cs="国标黑体"/>
          <w:sz w:val="28"/>
          <w:szCs w:val="28"/>
          <w:lang w:val="en-US" w:eastAsia="zh-CN"/>
        </w:rPr>
        <w:t>10</w:t>
      </w:r>
    </w:p>
    <w:p w14:paraId="59A9B8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相关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填报要求</w:t>
      </w:r>
    </w:p>
    <w:p w14:paraId="229321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36"/>
          <w:szCs w:val="36"/>
        </w:rPr>
      </w:pPr>
    </w:p>
    <w:p w14:paraId="09A017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一、品种名称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  <w:t>须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符合《农业植物品种命名规定》。</w:t>
      </w:r>
    </w:p>
    <w:p w14:paraId="4D83DA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二、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  <w:t>登录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中国种业大数据平台通过农业植物品种名称检索系统（http://202.127.42.178:4000/)进行查询，确保名称不重复。</w:t>
      </w:r>
    </w:p>
    <w:p w14:paraId="39EB28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三、农作物品种审定、农业植物新品种权使用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eastAsia="zh-CN"/>
        </w:rPr>
        <w:t>的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名称要一致。参加国家、自治区及各省不同试验渠道的品种名称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  <w:t>品种来源和育种者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必须一致。</w:t>
      </w:r>
    </w:p>
    <w:p w14:paraId="7A2CC9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四、杂交种和亲本不得有以下情形：</w:t>
      </w:r>
    </w:p>
    <w:p w14:paraId="7240FF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1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  <w:t>.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仅以数字或者英文字母组成的；</w:t>
      </w:r>
    </w:p>
    <w:p w14:paraId="6D5649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2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  <w:t>.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含有县级以上行政区划的地名或者公众知晓的其他国内外地名的，但地名简称、地名具有其他含义的除外；</w:t>
      </w:r>
    </w:p>
    <w:p w14:paraId="25F0C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3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  <w:t>.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容易对植物品种的特征、特性或者育种者身份等引起误解的，但惯用的杂交水稻品种命名除外；</w:t>
      </w:r>
    </w:p>
    <w:p w14:paraId="1DBC98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4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  <w:t>.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与他人驰名商标、同类注册商标的名称相同或者近似，未经商标权人同意的；</w:t>
      </w:r>
    </w:p>
    <w:p w14:paraId="3B6F5D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5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  <w:t>.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品种名称与另一已经使用的知名系列品种名称近似的。</w:t>
      </w:r>
    </w:p>
    <w:p w14:paraId="5B48E1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五、品种来源亲本组合表述要求</w:t>
      </w:r>
    </w:p>
    <w:p w14:paraId="76B50B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在申请植物新品种权保护、国家级和省级品种审定、品种登记时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品种亲本组合名称应保持一致，并按照以下要求进行规范表述。</w:t>
      </w:r>
    </w:p>
    <w:p w14:paraId="2481AD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1.母本在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  <w:t>前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父本在后</w:t>
      </w:r>
    </w:p>
    <w:p w14:paraId="536A5F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例：杂交种：母本为Km8，父本为Km19，则可表示为Km8×Km19。</w:t>
      </w:r>
    </w:p>
    <w:p w14:paraId="5908F8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2.杂交种用“×”表示</w:t>
      </w:r>
    </w:p>
    <w:p w14:paraId="362ACB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例：单交种：</w:t>
      </w:r>
      <w:bookmarkStart w:id="0" w:name="_Hlk150869382"/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a</w:t>
      </w:r>
      <w:bookmarkEnd w:id="0"/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×b；双交种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eastAsia="zh-CN"/>
        </w:rPr>
        <w:t>：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“（a×b）×（c×d）；三交种：（a×b）×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  <w:t>c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或a×（b×c）。</w:t>
      </w:r>
    </w:p>
    <w:p w14:paraId="33010D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3.常规种、无性繁殖、自交系、恢复系、三系不育系等用“／”“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  <w:t>//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”</w:t>
      </w:r>
    </w:p>
    <w:p w14:paraId="3B333E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例：a／b、a／b//c。</w:t>
      </w:r>
    </w:p>
    <w:p w14:paraId="61B5D3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4.回交n代用“</w:t>
      </w:r>
      <w:bookmarkStart w:id="1" w:name="_Hlk150869555"/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*n</w:t>
      </w:r>
      <w:bookmarkEnd w:id="1"/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”表示</w:t>
      </w:r>
    </w:p>
    <w:p w14:paraId="36A819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例：a/b//b*n、关东94／宁恢8号//宁恢8号*3。</w:t>
      </w:r>
    </w:p>
    <w:p w14:paraId="525318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5.野生选育、诱导变异等用文字表示</w:t>
      </w:r>
    </w:p>
    <w:p w14:paraId="7E0948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例：a化学诱变、a物理诱变、a太空辐射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aDH诱导。</w:t>
      </w:r>
    </w:p>
    <w:p w14:paraId="1EC998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6.群体和开放授粉品种</w:t>
      </w:r>
    </w:p>
    <w:p w14:paraId="77A170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例：a群体选择、以a为母本开放授粉。</w:t>
      </w:r>
    </w:p>
    <w:p w14:paraId="1A396C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7.转基因、基因编辑、嫁接、染色体杂交</w:t>
      </w:r>
    </w:p>
    <w:p w14:paraId="1D857F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例：a（转化体）、a（基因编辑生物名称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、a+b嫁接、a+b染色体杂交。</w:t>
      </w:r>
    </w:p>
    <w:p w14:paraId="00ABD2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备注：a、b、c、d代表品种名称。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国标黑体">
    <w:altName w:val="黑体"/>
    <w:panose1 w:val="020005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KSOF7DF6CDC0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KSOFD8A28030">
    <w:panose1 w:val="020B0503020204020204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EA7167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210C3EC">
                          <w:pPr>
                            <w:pStyle w:val="2"/>
                            <w:rPr>
                              <w:rFonts w:hint="default" w:asciiTheme="minorAscii" w:hAnsiTheme="minorAscii"/>
                              <w:sz w:val="24"/>
                              <w:szCs w:val="40"/>
                            </w:rPr>
                          </w:pPr>
                          <w:r>
                            <w:rPr>
                              <w:rFonts w:hint="default" w:asciiTheme="minorAscii" w:hAnsiTheme="minorAscii"/>
                              <w:sz w:val="24"/>
                              <w:szCs w:val="40"/>
                            </w:rPr>
                            <w:t xml:space="preserve">— </w:t>
                          </w:r>
                          <w:r>
                            <w:rPr>
                              <w:rFonts w:hint="default" w:asciiTheme="minorAscii" w:hAnsiTheme="minorAscii"/>
                              <w:sz w:val="24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rFonts w:hint="default" w:asciiTheme="minorAscii" w:hAnsiTheme="minorAscii"/>
                              <w:sz w:val="24"/>
                              <w:szCs w:val="4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Theme="minorAscii" w:hAnsiTheme="minorAscii"/>
                              <w:sz w:val="24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rFonts w:hint="default" w:asciiTheme="minorAscii" w:hAnsiTheme="minorAscii"/>
                              <w:sz w:val="24"/>
                              <w:szCs w:val="40"/>
                            </w:rPr>
                            <w:t>1</w:t>
                          </w:r>
                          <w:r>
                            <w:rPr>
                              <w:rFonts w:hint="default" w:asciiTheme="minorAscii" w:hAnsiTheme="minorAscii"/>
                              <w:sz w:val="24"/>
                              <w:szCs w:val="40"/>
                            </w:rPr>
                            <w:fldChar w:fldCharType="end"/>
                          </w:r>
                          <w:r>
                            <w:rPr>
                              <w:rFonts w:hint="default" w:asciiTheme="minorAscii" w:hAnsiTheme="minorAscii"/>
                              <w:sz w:val="24"/>
                              <w:szCs w:val="40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210C3EC">
                    <w:pPr>
                      <w:pStyle w:val="2"/>
                      <w:rPr>
                        <w:rFonts w:hint="default" w:asciiTheme="minorAscii" w:hAnsiTheme="minorAscii"/>
                        <w:sz w:val="24"/>
                        <w:szCs w:val="40"/>
                      </w:rPr>
                    </w:pPr>
                    <w:r>
                      <w:rPr>
                        <w:rFonts w:hint="default" w:asciiTheme="minorAscii" w:hAnsiTheme="minorAscii"/>
                        <w:sz w:val="24"/>
                        <w:szCs w:val="40"/>
                      </w:rPr>
                      <w:t xml:space="preserve">— </w:t>
                    </w:r>
                    <w:r>
                      <w:rPr>
                        <w:rFonts w:hint="default" w:asciiTheme="minorAscii" w:hAnsiTheme="minorAscii"/>
                        <w:sz w:val="24"/>
                        <w:szCs w:val="40"/>
                      </w:rPr>
                      <w:fldChar w:fldCharType="begin"/>
                    </w:r>
                    <w:r>
                      <w:rPr>
                        <w:rFonts w:hint="default" w:asciiTheme="minorAscii" w:hAnsiTheme="minorAscii"/>
                        <w:sz w:val="24"/>
                        <w:szCs w:val="40"/>
                      </w:rPr>
                      <w:instrText xml:space="preserve"> PAGE  \* MERGEFORMAT </w:instrText>
                    </w:r>
                    <w:r>
                      <w:rPr>
                        <w:rFonts w:hint="default" w:asciiTheme="minorAscii" w:hAnsiTheme="minorAscii"/>
                        <w:sz w:val="24"/>
                        <w:szCs w:val="40"/>
                      </w:rPr>
                      <w:fldChar w:fldCharType="separate"/>
                    </w:r>
                    <w:r>
                      <w:rPr>
                        <w:rFonts w:hint="default" w:asciiTheme="minorAscii" w:hAnsiTheme="minorAscii"/>
                        <w:sz w:val="24"/>
                        <w:szCs w:val="40"/>
                      </w:rPr>
                      <w:t>1</w:t>
                    </w:r>
                    <w:r>
                      <w:rPr>
                        <w:rFonts w:hint="default" w:asciiTheme="minorAscii" w:hAnsiTheme="minorAscii"/>
                        <w:sz w:val="24"/>
                        <w:szCs w:val="40"/>
                      </w:rPr>
                      <w:fldChar w:fldCharType="end"/>
                    </w:r>
                    <w:r>
                      <w:rPr>
                        <w:rFonts w:hint="default" w:asciiTheme="minorAscii" w:hAnsiTheme="minorAscii"/>
                        <w:sz w:val="24"/>
                        <w:szCs w:val="4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NkMTcyNGM5ZGRlY2QxNzhmZmY1ZTQ0YmE0MTRiMDkifQ=="/>
  </w:docVars>
  <w:rsids>
    <w:rsidRoot w:val="33590ECA"/>
    <w:rsid w:val="33590ECA"/>
    <w:rsid w:val="359A82E4"/>
    <w:rsid w:val="3B7E455B"/>
    <w:rsid w:val="71F019A4"/>
    <w:rsid w:val="9F7F8ED6"/>
    <w:rsid w:val="ABABFF14"/>
    <w:rsid w:val="EDDFA6D0"/>
    <w:rsid w:val="F5BFEF86"/>
    <w:rsid w:val="FF4A6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687</Words>
  <Characters>758</Characters>
  <Lines>0</Lines>
  <Paragraphs>0</Paragraphs>
  <TotalTime>0</TotalTime>
  <ScaleCrop>false</ScaleCrop>
  <LinksUpToDate>false</LinksUpToDate>
  <CharactersWithSpaces>758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2026-01-15T23:51:00Z</dcterms:created>
  <dc:creator>张恒</dc:creator>
  <cp:lastModifiedBy>zyh</cp:lastModifiedBy>
  <dcterms:modified xsi:type="dcterms:W3CDTF">2026-01-21T03:16:27Z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15A30B409CB84B7DAABBB656702029EC_13</vt:lpwstr>
  </property>
</Properties>
</file>