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W w:w="87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4"/>
        <w:gridCol w:w="3642"/>
        <w:gridCol w:w="1396"/>
        <w:gridCol w:w="2306"/>
      </w:tblGrid>
      <w:tr w14:paraId="40419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2" w:hRule="atLeast"/>
          <w:jc w:val="center"/>
        </w:trPr>
        <w:tc>
          <w:tcPr>
            <w:tcW w:w="1414" w:type="dxa"/>
            <w:noWrap w:val="0"/>
            <w:vAlign w:val="center"/>
          </w:tcPr>
          <w:p w14:paraId="0DCE3681">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方正仿宋_GBK" w:cs="Times New Roman"/>
                <w:sz w:val="28"/>
                <w:szCs w:val="28"/>
                <w:u w:val="none" w:color="auto"/>
                <w:vertAlign w:val="baseline"/>
                <w:lang w:eastAsia="zh-CN"/>
              </w:rPr>
            </w:pPr>
            <w:bookmarkStart w:id="1" w:name="_GoBack"/>
            <w:bookmarkEnd w:id="1"/>
            <w:r>
              <w:rPr>
                <w:rFonts w:hint="default" w:ascii="Times New Roman" w:hAnsi="Times New Roman" w:eastAsia="方正仿宋_GBK" w:cs="Times New Roman"/>
                <w:sz w:val="28"/>
                <w:szCs w:val="28"/>
                <w:u w:val="none" w:color="auto"/>
                <w:vertAlign w:val="baseline"/>
                <w:lang w:eastAsia="zh-CN"/>
              </w:rPr>
              <w:t>整改实</w:t>
            </w:r>
            <w:bookmarkStart w:id="0" w:name="FunCunProofread34201"/>
            <w:r>
              <w:rPr>
                <w:rFonts w:hint="default" w:ascii="Times New Roman" w:hAnsi="Times New Roman" w:eastAsia="方正仿宋_GBK" w:cs="Times New Roman"/>
                <w:sz w:val="28"/>
                <w:szCs w:val="28"/>
                <w:u w:val="none" w:color="auto"/>
                <w:shd w:val="clear" w:color="auto" w:fill="auto"/>
                <w:vertAlign w:val="baseline"/>
                <w:lang w:eastAsia="zh-CN"/>
              </w:rPr>
              <w:t>施</w:t>
            </w:r>
            <w:bookmarkEnd w:id="0"/>
          </w:p>
          <w:p w14:paraId="09D26E9B">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方正仿宋_GBK" w:cs="Times New Roman"/>
                <w:spacing w:val="6"/>
                <w:sz w:val="28"/>
                <w:szCs w:val="28"/>
                <w:u w:val="none" w:color="auto"/>
                <w:vertAlign w:val="baseline"/>
                <w:lang w:eastAsia="zh-CN"/>
              </w:rPr>
            </w:pPr>
            <w:r>
              <w:rPr>
                <w:rFonts w:hint="default" w:ascii="Times New Roman" w:hAnsi="Times New Roman" w:eastAsia="方正仿宋_GBK" w:cs="Times New Roman"/>
                <w:sz w:val="28"/>
                <w:szCs w:val="28"/>
                <w:u w:val="none" w:color="auto"/>
                <w:vertAlign w:val="baseline"/>
                <w:lang w:eastAsia="zh-CN"/>
              </w:rPr>
              <w:t>主体</w:t>
            </w:r>
          </w:p>
        </w:tc>
        <w:tc>
          <w:tcPr>
            <w:tcW w:w="3642" w:type="dxa"/>
            <w:noWrap w:val="0"/>
            <w:vAlign w:val="center"/>
          </w:tcPr>
          <w:p w14:paraId="1BAD87BD">
            <w:pPr>
              <w:pStyle w:val="5"/>
              <w:keepNext w:val="0"/>
              <w:keepLines w:val="0"/>
              <w:pageBreakBefore w:val="0"/>
              <w:widowControl w:val="0"/>
              <w:kinsoku/>
              <w:wordWrap/>
              <w:overflowPunct/>
              <w:topLinePunct w:val="0"/>
              <w:autoSpaceDE/>
              <w:autoSpaceDN/>
              <w:bidi w:val="0"/>
              <w:spacing w:after="0" w:line="380" w:lineRule="exact"/>
              <w:ind w:left="0" w:leftChars="0" w:firstLine="0" w:firstLineChars="0"/>
              <w:jc w:val="left"/>
              <w:textAlignment w:val="auto"/>
              <w:rPr>
                <w:rFonts w:hint="default" w:ascii="Times New Roman" w:hAnsi="Times New Roman" w:eastAsia="方正仿宋_GBK" w:cs="Times New Roman"/>
                <w:spacing w:val="6"/>
                <w:sz w:val="28"/>
                <w:szCs w:val="28"/>
                <w:u w:val="none" w:color="auto"/>
                <w:vertAlign w:val="baseline"/>
                <w:lang w:eastAsia="zh-CN"/>
              </w:rPr>
            </w:pPr>
            <w:r>
              <w:rPr>
                <w:rFonts w:hint="default" w:ascii="Times New Roman" w:hAnsi="Times New Roman" w:eastAsia="方正仿宋_GBK" w:cs="Times New Roman"/>
                <w:kern w:val="2"/>
                <w:sz w:val="28"/>
                <w:szCs w:val="28"/>
                <w:u w:val="none" w:color="auto"/>
                <w:vertAlign w:val="baseline"/>
                <w:lang w:val="en-US" w:eastAsia="zh-CN" w:bidi="ar-SA"/>
              </w:rPr>
              <w:t>省农业农村厅牵头，省公安厅、省市场监管局配合，昆明市、玉溪市党委和人民政府具体负责。</w:t>
            </w:r>
          </w:p>
        </w:tc>
        <w:tc>
          <w:tcPr>
            <w:tcW w:w="1396" w:type="dxa"/>
            <w:noWrap w:val="0"/>
            <w:vAlign w:val="center"/>
          </w:tcPr>
          <w:p w14:paraId="199DC6D4">
            <w:pPr>
              <w:keepNext w:val="0"/>
              <w:keepLines w:val="0"/>
              <w:pageBreakBefore w:val="0"/>
              <w:widowControl w:val="0"/>
              <w:kinsoku/>
              <w:wordWrap/>
              <w:overflowPunct/>
              <w:topLinePunct w:val="0"/>
              <w:autoSpaceDE/>
              <w:autoSpaceDN/>
              <w:bidi w:val="0"/>
              <w:adjustRightInd w:val="0"/>
              <w:snapToGrid w:val="0"/>
              <w:spacing w:line="380" w:lineRule="exact"/>
              <w:jc w:val="left"/>
              <w:textAlignment w:val="auto"/>
              <w:rPr>
                <w:rFonts w:hint="default" w:ascii="Times New Roman" w:hAnsi="Times New Roman" w:eastAsia="方正仿宋_GBK" w:cs="Times New Roman"/>
                <w:spacing w:val="6"/>
                <w:sz w:val="28"/>
                <w:szCs w:val="28"/>
                <w:u w:val="none" w:color="auto"/>
                <w:vertAlign w:val="baseline"/>
                <w:lang w:eastAsia="zh-CN"/>
              </w:rPr>
            </w:pPr>
            <w:r>
              <w:rPr>
                <w:rFonts w:hint="default" w:ascii="Times New Roman" w:hAnsi="Times New Roman" w:eastAsia="方正仿宋_GBK" w:cs="Times New Roman"/>
                <w:sz w:val="28"/>
                <w:szCs w:val="28"/>
                <w:u w:val="none" w:color="auto"/>
                <w:vertAlign w:val="baseline"/>
                <w:lang w:eastAsia="zh-CN"/>
              </w:rPr>
              <w:t>公示日期</w:t>
            </w:r>
          </w:p>
        </w:tc>
        <w:tc>
          <w:tcPr>
            <w:tcW w:w="2306" w:type="dxa"/>
            <w:noWrap w:val="0"/>
            <w:vAlign w:val="center"/>
          </w:tcPr>
          <w:p w14:paraId="79632EF5">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80" w:lineRule="exact"/>
              <w:ind w:left="0" w:leftChars="0" w:right="0" w:rightChars="0" w:firstLine="0" w:firstLineChars="0"/>
              <w:jc w:val="left"/>
              <w:textAlignment w:val="auto"/>
              <w:outlineLvl w:val="0"/>
              <w:rPr>
                <w:rFonts w:hint="default" w:ascii="Times New Roman" w:hAnsi="Times New Roman" w:eastAsia="方正仿宋_GBK" w:cs="Times New Roman"/>
                <w:b w:val="0"/>
                <w:bCs w:val="0"/>
                <w:i w:val="0"/>
                <w:iCs w:val="0"/>
                <w:caps w:val="0"/>
                <w:color w:val="333333"/>
                <w:spacing w:val="0"/>
                <w:sz w:val="28"/>
                <w:szCs w:val="28"/>
                <w:u w:val="none" w:color="auto"/>
              </w:rPr>
            </w:pPr>
            <w:r>
              <w:rPr>
                <w:rFonts w:hint="eastAsia" w:ascii="Times New Roman" w:hAnsi="Times New Roman" w:eastAsia="方正仿宋_GBK" w:cs="Times New Roman"/>
                <w:b w:val="0"/>
                <w:bCs w:val="0"/>
                <w:i w:val="0"/>
                <w:iCs w:val="0"/>
                <w:caps w:val="0"/>
                <w:color w:val="333333"/>
                <w:spacing w:val="0"/>
                <w:sz w:val="28"/>
                <w:szCs w:val="28"/>
                <w:u w:val="none" w:color="auto"/>
                <w:lang w:val="en-US" w:eastAsia="zh-CN"/>
              </w:rPr>
              <w:t>2026</w:t>
            </w:r>
            <w:r>
              <w:rPr>
                <w:rFonts w:hint="default" w:ascii="Times New Roman" w:hAnsi="Times New Roman" w:eastAsia="方正仿宋_GBK" w:cs="Times New Roman"/>
                <w:b w:val="0"/>
                <w:bCs w:val="0"/>
                <w:i w:val="0"/>
                <w:iCs w:val="0"/>
                <w:caps w:val="0"/>
                <w:color w:val="333333"/>
                <w:spacing w:val="0"/>
                <w:sz w:val="28"/>
                <w:szCs w:val="28"/>
                <w:u w:val="none" w:color="auto"/>
              </w:rPr>
              <w:t>年</w:t>
            </w:r>
            <w:r>
              <w:rPr>
                <w:rFonts w:hint="eastAsia" w:ascii="Times New Roman" w:hAnsi="Times New Roman" w:eastAsia="方正仿宋_GBK" w:cs="Times New Roman"/>
                <w:b w:val="0"/>
                <w:bCs w:val="0"/>
                <w:i w:val="0"/>
                <w:iCs w:val="0"/>
                <w:caps w:val="0"/>
                <w:color w:val="333333"/>
                <w:spacing w:val="0"/>
                <w:sz w:val="28"/>
                <w:szCs w:val="28"/>
                <w:u w:val="none" w:color="auto"/>
                <w:lang w:val="en-US" w:eastAsia="zh-CN"/>
              </w:rPr>
              <w:t>3</w:t>
            </w:r>
            <w:r>
              <w:rPr>
                <w:rFonts w:hint="default" w:ascii="Times New Roman" w:hAnsi="Times New Roman" w:eastAsia="方正仿宋_GBK" w:cs="Times New Roman"/>
                <w:b w:val="0"/>
                <w:bCs w:val="0"/>
                <w:i w:val="0"/>
                <w:iCs w:val="0"/>
                <w:caps w:val="0"/>
                <w:color w:val="333333"/>
                <w:spacing w:val="0"/>
                <w:sz w:val="28"/>
                <w:szCs w:val="28"/>
                <w:u w:val="none" w:color="auto"/>
              </w:rPr>
              <w:t>月</w:t>
            </w:r>
            <w:r>
              <w:rPr>
                <w:rFonts w:hint="eastAsia" w:ascii="Times New Roman" w:hAnsi="Times New Roman" w:eastAsia="方正仿宋_GBK" w:cs="Times New Roman"/>
                <w:b w:val="0"/>
                <w:bCs w:val="0"/>
                <w:i w:val="0"/>
                <w:iCs w:val="0"/>
                <w:caps w:val="0"/>
                <w:color w:val="333333"/>
                <w:spacing w:val="0"/>
                <w:sz w:val="28"/>
                <w:szCs w:val="28"/>
                <w:u w:val="none" w:color="auto"/>
                <w:lang w:val="en-US" w:eastAsia="zh-CN"/>
              </w:rPr>
              <w:t>9</w:t>
            </w:r>
            <w:r>
              <w:rPr>
                <w:rFonts w:hint="default" w:ascii="Times New Roman" w:hAnsi="Times New Roman" w:eastAsia="方正仿宋_GBK" w:cs="Times New Roman"/>
                <w:b w:val="0"/>
                <w:bCs w:val="0"/>
                <w:i w:val="0"/>
                <w:iCs w:val="0"/>
                <w:caps w:val="0"/>
                <w:color w:val="333333"/>
                <w:spacing w:val="0"/>
                <w:sz w:val="28"/>
                <w:szCs w:val="28"/>
                <w:u w:val="none" w:color="auto"/>
              </w:rPr>
              <w:t>日至</w:t>
            </w:r>
          </w:p>
          <w:p w14:paraId="27CBE4E9">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80" w:lineRule="exact"/>
              <w:ind w:left="0" w:leftChars="0" w:right="0" w:rightChars="0" w:firstLine="0" w:firstLineChars="0"/>
              <w:jc w:val="left"/>
              <w:textAlignment w:val="auto"/>
              <w:outlineLvl w:val="0"/>
              <w:rPr>
                <w:rFonts w:hint="default" w:ascii="Times New Roman" w:hAnsi="Times New Roman" w:eastAsia="方正仿宋_GBK" w:cs="Times New Roman"/>
                <w:spacing w:val="6"/>
                <w:sz w:val="28"/>
                <w:szCs w:val="28"/>
                <w:u w:val="none" w:color="auto"/>
                <w:vertAlign w:val="baseline"/>
                <w:lang w:eastAsia="zh-CN"/>
              </w:rPr>
            </w:pPr>
            <w:r>
              <w:rPr>
                <w:rFonts w:hint="eastAsia" w:ascii="Times New Roman" w:hAnsi="Times New Roman" w:eastAsia="方正仿宋_GBK" w:cs="Times New Roman"/>
                <w:b w:val="0"/>
                <w:bCs w:val="0"/>
                <w:i w:val="0"/>
                <w:iCs w:val="0"/>
                <w:caps w:val="0"/>
                <w:color w:val="333333"/>
                <w:spacing w:val="0"/>
                <w:sz w:val="28"/>
                <w:szCs w:val="28"/>
                <w:u w:val="none" w:color="auto"/>
                <w:lang w:val="en-US" w:eastAsia="zh-CN"/>
              </w:rPr>
              <w:t>2026</w:t>
            </w:r>
            <w:r>
              <w:rPr>
                <w:rFonts w:hint="default" w:ascii="Times New Roman" w:hAnsi="Times New Roman" w:eastAsia="方正仿宋_GBK" w:cs="Times New Roman"/>
                <w:b w:val="0"/>
                <w:bCs w:val="0"/>
                <w:i w:val="0"/>
                <w:iCs w:val="0"/>
                <w:caps w:val="0"/>
                <w:color w:val="333333"/>
                <w:spacing w:val="0"/>
                <w:sz w:val="28"/>
                <w:szCs w:val="28"/>
                <w:u w:val="none" w:color="auto"/>
              </w:rPr>
              <w:t>年</w:t>
            </w:r>
            <w:r>
              <w:rPr>
                <w:rFonts w:hint="eastAsia" w:ascii="Times New Roman" w:hAnsi="Times New Roman" w:eastAsia="方正仿宋_GBK" w:cs="Times New Roman"/>
                <w:b w:val="0"/>
                <w:bCs w:val="0"/>
                <w:i w:val="0"/>
                <w:iCs w:val="0"/>
                <w:caps w:val="0"/>
                <w:color w:val="333333"/>
                <w:spacing w:val="0"/>
                <w:sz w:val="28"/>
                <w:szCs w:val="28"/>
                <w:u w:val="none" w:color="auto"/>
                <w:lang w:val="en-US" w:eastAsia="zh-CN"/>
              </w:rPr>
              <w:t>3</w:t>
            </w:r>
            <w:r>
              <w:rPr>
                <w:rFonts w:hint="default" w:ascii="Times New Roman" w:hAnsi="Times New Roman" w:eastAsia="方正仿宋_GBK" w:cs="Times New Roman"/>
                <w:b w:val="0"/>
                <w:bCs w:val="0"/>
                <w:i w:val="0"/>
                <w:iCs w:val="0"/>
                <w:caps w:val="0"/>
                <w:color w:val="333333"/>
                <w:spacing w:val="0"/>
                <w:sz w:val="28"/>
                <w:szCs w:val="28"/>
                <w:u w:val="none" w:color="auto"/>
              </w:rPr>
              <w:t>月</w:t>
            </w:r>
            <w:r>
              <w:rPr>
                <w:rFonts w:hint="eastAsia" w:ascii="Times New Roman" w:hAnsi="Times New Roman" w:eastAsia="方正仿宋_GBK" w:cs="Times New Roman"/>
                <w:b w:val="0"/>
                <w:bCs w:val="0"/>
                <w:i w:val="0"/>
                <w:iCs w:val="0"/>
                <w:caps w:val="0"/>
                <w:color w:val="333333"/>
                <w:spacing w:val="0"/>
                <w:sz w:val="28"/>
                <w:szCs w:val="28"/>
                <w:u w:val="none" w:color="auto"/>
                <w:lang w:val="en-US" w:eastAsia="zh-CN"/>
              </w:rPr>
              <w:t>20</w:t>
            </w:r>
            <w:r>
              <w:rPr>
                <w:rFonts w:hint="default" w:ascii="Times New Roman" w:hAnsi="Times New Roman" w:eastAsia="方正仿宋_GBK" w:cs="Times New Roman"/>
                <w:b w:val="0"/>
                <w:bCs w:val="0"/>
                <w:i w:val="0"/>
                <w:iCs w:val="0"/>
                <w:caps w:val="0"/>
                <w:color w:val="333333"/>
                <w:spacing w:val="0"/>
                <w:sz w:val="28"/>
                <w:szCs w:val="28"/>
                <w:u w:val="none" w:color="auto"/>
              </w:rPr>
              <w:t>日</w:t>
            </w:r>
          </w:p>
        </w:tc>
      </w:tr>
      <w:tr w14:paraId="43C76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414" w:type="dxa"/>
            <w:noWrap w:val="0"/>
            <w:vAlign w:val="center"/>
          </w:tcPr>
          <w:p w14:paraId="51507083">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方正仿宋_GBK" w:cs="Times New Roman"/>
                <w:sz w:val="28"/>
                <w:szCs w:val="28"/>
                <w:u w:val="none" w:color="auto"/>
                <w:vertAlign w:val="baseline"/>
                <w:lang w:eastAsia="zh-CN"/>
              </w:rPr>
            </w:pPr>
            <w:r>
              <w:rPr>
                <w:rFonts w:hint="default" w:ascii="Times New Roman" w:hAnsi="Times New Roman" w:eastAsia="方正仿宋_GBK" w:cs="Times New Roman"/>
                <w:sz w:val="28"/>
                <w:szCs w:val="28"/>
                <w:u w:val="none" w:color="auto"/>
                <w:vertAlign w:val="baseline"/>
                <w:lang w:eastAsia="zh-CN"/>
              </w:rPr>
              <w:t>整改任务</w:t>
            </w:r>
          </w:p>
          <w:p w14:paraId="4FDB60D8">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方正仿宋_GBK" w:cs="Times New Roman"/>
                <w:spacing w:val="6"/>
                <w:sz w:val="28"/>
                <w:szCs w:val="28"/>
                <w:u w:val="none" w:color="auto"/>
                <w:vertAlign w:val="baseline"/>
                <w:lang w:eastAsia="zh-CN"/>
              </w:rPr>
            </w:pPr>
            <w:r>
              <w:rPr>
                <w:rFonts w:hint="default" w:ascii="Times New Roman" w:hAnsi="Times New Roman" w:eastAsia="方正仿宋_GBK" w:cs="Times New Roman"/>
                <w:sz w:val="28"/>
                <w:szCs w:val="28"/>
                <w:u w:val="none" w:color="auto"/>
                <w:vertAlign w:val="baseline"/>
                <w:lang w:eastAsia="zh-CN"/>
              </w:rPr>
              <w:t>概述</w:t>
            </w:r>
          </w:p>
        </w:tc>
        <w:tc>
          <w:tcPr>
            <w:tcW w:w="7344" w:type="dxa"/>
            <w:gridSpan w:val="3"/>
            <w:noWrap w:val="0"/>
            <w:vAlign w:val="center"/>
          </w:tcPr>
          <w:p w14:paraId="48A46A83">
            <w:pPr>
              <w:pStyle w:val="5"/>
              <w:keepNext w:val="0"/>
              <w:keepLines w:val="0"/>
              <w:pageBreakBefore w:val="0"/>
              <w:widowControl w:val="0"/>
              <w:kinsoku/>
              <w:wordWrap/>
              <w:overflowPunct/>
              <w:topLinePunct w:val="0"/>
              <w:autoSpaceDE/>
              <w:autoSpaceDN/>
              <w:bidi w:val="0"/>
              <w:spacing w:after="0" w:line="380" w:lineRule="exact"/>
              <w:ind w:left="0" w:leftChars="0" w:firstLine="0" w:firstLineChars="0"/>
              <w:jc w:val="left"/>
              <w:textAlignment w:val="auto"/>
              <w:rPr>
                <w:rFonts w:hint="default" w:ascii="Times New Roman" w:hAnsi="Times New Roman" w:eastAsia="方正仿宋_GBK" w:cs="Times New Roman"/>
                <w:spacing w:val="6"/>
                <w:sz w:val="28"/>
                <w:szCs w:val="28"/>
                <w:u w:val="none" w:color="auto"/>
                <w:vertAlign w:val="baseline"/>
                <w:lang w:eastAsia="zh-CN"/>
              </w:rPr>
            </w:pPr>
            <w:r>
              <w:rPr>
                <w:rFonts w:hint="default" w:ascii="Times New Roman" w:hAnsi="Times New Roman" w:eastAsia="方正仿宋_GBK" w:cs="Times New Roman"/>
                <w:i w:val="0"/>
                <w:iCs w:val="0"/>
                <w:caps w:val="0"/>
                <w:color w:val="000000"/>
                <w:spacing w:val="0"/>
                <w:sz w:val="28"/>
                <w:szCs w:val="28"/>
                <w:u w:val="none" w:color="auto"/>
                <w:shd w:val="clear" w:color="auto" w:fill="FFFFFF"/>
                <w:lang w:val="en-US" w:eastAsia="zh-CN"/>
              </w:rPr>
              <w:t>昆明市滇池、玉溪市抚仙湖等地禁渔工作落实还不够到位</w:t>
            </w:r>
          </w:p>
        </w:tc>
      </w:tr>
      <w:tr w14:paraId="39F71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8" w:hRule="atLeast"/>
          <w:jc w:val="center"/>
        </w:trPr>
        <w:tc>
          <w:tcPr>
            <w:tcW w:w="1414" w:type="dxa"/>
            <w:noWrap w:val="0"/>
            <w:vAlign w:val="center"/>
          </w:tcPr>
          <w:p w14:paraId="7D36C288">
            <w:pPr>
              <w:keepNext w:val="0"/>
              <w:keepLines w:val="0"/>
              <w:pageBreakBefore w:val="0"/>
              <w:widowControl w:val="0"/>
              <w:kinsoku/>
              <w:wordWrap/>
              <w:overflowPunct/>
              <w:topLinePunct w:val="0"/>
              <w:autoSpaceDE/>
              <w:autoSpaceDN/>
              <w:bidi w:val="0"/>
              <w:adjustRightInd w:val="0"/>
              <w:snapToGrid w:val="0"/>
              <w:spacing w:line="380" w:lineRule="exact"/>
              <w:jc w:val="left"/>
              <w:textAlignment w:val="auto"/>
              <w:rPr>
                <w:rFonts w:hint="default" w:ascii="Times New Roman" w:hAnsi="Times New Roman" w:eastAsia="方正仿宋_GBK" w:cs="Times New Roman"/>
                <w:spacing w:val="6"/>
                <w:sz w:val="28"/>
                <w:szCs w:val="28"/>
                <w:u w:val="none" w:color="auto"/>
                <w:vertAlign w:val="baseline"/>
                <w:lang w:eastAsia="zh-CN"/>
              </w:rPr>
            </w:pPr>
            <w:r>
              <w:rPr>
                <w:rFonts w:hint="default" w:ascii="Times New Roman" w:hAnsi="Times New Roman" w:eastAsia="方正仿宋_GBK" w:cs="Times New Roman"/>
                <w:sz w:val="28"/>
                <w:szCs w:val="28"/>
                <w:u w:val="none" w:color="auto"/>
                <w:vertAlign w:val="baseline"/>
                <w:lang w:eastAsia="zh-CN"/>
              </w:rPr>
              <w:t>整改情况</w:t>
            </w:r>
          </w:p>
        </w:tc>
        <w:tc>
          <w:tcPr>
            <w:tcW w:w="7344" w:type="dxa"/>
            <w:gridSpan w:val="3"/>
            <w:noWrap w:val="0"/>
            <w:vAlign w:val="center"/>
          </w:tcPr>
          <w:p w14:paraId="6B1340C4">
            <w:pPr>
              <w:keepNext w:val="0"/>
              <w:keepLines w:val="0"/>
              <w:pageBreakBefore w:val="0"/>
              <w:widowControl w:val="0"/>
              <w:kinsoku/>
              <w:wordWrap/>
              <w:overflowPunct/>
              <w:topLinePunct w:val="0"/>
              <w:autoSpaceDE/>
              <w:autoSpaceDN/>
              <w:bidi w:val="0"/>
              <w:adjustRightInd/>
              <w:snapToGrid/>
              <w:spacing w:line="380" w:lineRule="exact"/>
              <w:ind w:firstLine="560" w:firstLineChars="200"/>
              <w:jc w:val="left"/>
              <w:textAlignment w:val="auto"/>
              <w:rPr>
                <w:rFonts w:hint="default" w:ascii="Times New Roman" w:hAnsi="Times New Roman" w:eastAsia="方正仿宋_GBK" w:cs="Times New Roman"/>
                <w:b w:val="0"/>
                <w:bCs w:val="0"/>
                <w:sz w:val="28"/>
                <w:szCs w:val="28"/>
                <w:lang w:val="en-US" w:eastAsia="zh-CN"/>
              </w:rPr>
            </w:pPr>
            <w:r>
              <w:rPr>
                <w:rFonts w:hint="eastAsia" w:ascii="方正楷体_GBK" w:hAnsi="方正楷体_GBK" w:eastAsia="方正楷体_GBK" w:cs="方正楷体_GBK"/>
                <w:color w:val="000000"/>
                <w:kern w:val="0"/>
                <w:sz w:val="28"/>
                <w:szCs w:val="28"/>
                <w:lang w:val="en-US" w:eastAsia="zh-CN" w:bidi="ar"/>
              </w:rPr>
              <w:t>（一）昆明市。</w:t>
            </w:r>
            <w:r>
              <w:rPr>
                <w:rFonts w:hint="default" w:ascii="Times New Roman" w:hAnsi="Times New Roman" w:eastAsia="方正仿宋_GBK" w:cs="Times New Roman"/>
                <w:i w:val="0"/>
                <w:iCs w:val="0"/>
                <w:caps w:val="0"/>
                <w:color w:val="000000"/>
                <w:spacing w:val="0"/>
                <w:sz w:val="28"/>
                <w:szCs w:val="28"/>
                <w:u w:val="none" w:color="auto"/>
                <w:shd w:val="clear" w:color="auto" w:fill="FFFFFF"/>
                <w:lang w:val="en-US" w:eastAsia="zh-CN"/>
              </w:rPr>
              <w:t>昆明市坚持高位推动长江十年禁渔工作，2025年多次召开市委、市人民政府专题会议，市级协调机制7次召开工作例会，研究解决存在问题、安排部署工作任务。</w:t>
            </w:r>
            <w:r>
              <w:rPr>
                <w:rFonts w:hint="default" w:ascii="Times New Roman" w:hAnsi="Times New Roman" w:eastAsia="方正仿宋_GBK" w:cs="Times New Roman"/>
                <w:b/>
                <w:bCs/>
                <w:i w:val="0"/>
                <w:iCs w:val="0"/>
                <w:caps w:val="0"/>
                <w:color w:val="000000"/>
                <w:spacing w:val="0"/>
                <w:sz w:val="28"/>
                <w:szCs w:val="28"/>
                <w:u w:val="none" w:color="auto"/>
                <w:shd w:val="clear" w:color="auto" w:fill="FFFFFF"/>
                <w:lang w:val="en-US" w:eastAsia="zh-CN"/>
              </w:rPr>
              <w:t>一是</w:t>
            </w:r>
            <w:r>
              <w:rPr>
                <w:rFonts w:hint="default" w:ascii="Times New Roman" w:hAnsi="Times New Roman" w:eastAsia="方正仿宋_GBK" w:cs="Times New Roman"/>
                <w:i w:val="0"/>
                <w:iCs w:val="0"/>
                <w:caps w:val="0"/>
                <w:color w:val="000000"/>
                <w:spacing w:val="0"/>
                <w:sz w:val="28"/>
                <w:szCs w:val="28"/>
                <w:u w:val="none" w:color="auto"/>
                <w:shd w:val="clear" w:color="auto" w:fill="FFFFFF"/>
                <w:lang w:val="en-US" w:eastAsia="zh-CN"/>
              </w:rPr>
              <w:t>持续加强支撑保障，安排1000余万元资金回收滇池流域渔船、渔网，每年安排专项资金招聘200名执法辅助人员参与滇池禁捕工作，落实248万元资金开展滇池鱼类群落特征及生存环境响应研究工作。</w:t>
            </w:r>
            <w:r>
              <w:rPr>
                <w:rFonts w:hint="default" w:ascii="Times New Roman" w:hAnsi="Times New Roman" w:eastAsia="方正仿宋_GBK" w:cs="Times New Roman"/>
                <w:b/>
                <w:bCs/>
                <w:i w:val="0"/>
                <w:iCs w:val="0"/>
                <w:caps w:val="0"/>
                <w:color w:val="000000"/>
                <w:spacing w:val="0"/>
                <w:sz w:val="28"/>
                <w:szCs w:val="28"/>
                <w:u w:val="none" w:color="auto"/>
                <w:shd w:val="clear" w:color="auto" w:fill="FFFFFF"/>
                <w:lang w:val="en-US" w:eastAsia="zh-CN"/>
              </w:rPr>
              <w:t>二</w:t>
            </w:r>
            <w:r>
              <w:rPr>
                <w:rFonts w:hint="default" w:ascii="Times New Roman" w:hAnsi="Times New Roman" w:eastAsia="方正仿宋_GBK" w:cs="Times New Roman"/>
                <w:b/>
                <w:bCs/>
                <w:color w:val="auto"/>
                <w:sz w:val="28"/>
                <w:szCs w:val="28"/>
                <w:lang w:val="en-US" w:eastAsia="zh-CN"/>
              </w:rPr>
              <w:t>是</w:t>
            </w:r>
            <w:r>
              <w:rPr>
                <w:rFonts w:hint="default" w:ascii="Times New Roman" w:hAnsi="Times New Roman" w:eastAsia="方正仿宋_GBK" w:cs="Times New Roman"/>
                <w:color w:val="auto"/>
                <w:sz w:val="28"/>
                <w:szCs w:val="28"/>
                <w:lang w:val="en-US" w:eastAsia="zh-CN"/>
              </w:rPr>
              <w:t>2024年7月以来，共出动执法人员162793人次，组织专项联合执法行动571次，开展暗查暗访64次，劝阻垂钓49955起，清理违规渔网具6520张/个，办理行政处罚案件94起，公安机关共办理滇池流域非法捕捞水产品刑事案件89起，抓获嫌疑人108人。</w:t>
            </w:r>
            <w:r>
              <w:rPr>
                <w:rFonts w:hint="default" w:ascii="Times New Roman" w:hAnsi="Times New Roman" w:eastAsia="方正仿宋_GBK" w:cs="Times New Roman"/>
                <w:b/>
                <w:bCs/>
                <w:color w:val="auto"/>
                <w:sz w:val="28"/>
                <w:szCs w:val="28"/>
                <w:lang w:val="en-US" w:eastAsia="zh-CN"/>
              </w:rPr>
              <w:t>三</w:t>
            </w:r>
            <w:r>
              <w:rPr>
                <w:rFonts w:hint="default" w:ascii="Times New Roman" w:hAnsi="Times New Roman" w:eastAsia="方正仿宋_GBK" w:cs="Times New Roman"/>
                <w:b/>
                <w:bCs/>
                <w:sz w:val="28"/>
                <w:szCs w:val="28"/>
                <w:lang w:val="en-US" w:eastAsia="zh-CN"/>
              </w:rPr>
              <w:t>是</w:t>
            </w:r>
            <w:r>
              <w:rPr>
                <w:rFonts w:hint="default" w:ascii="Times New Roman" w:hAnsi="Times New Roman" w:eastAsia="方正仿宋_GBK" w:cs="Times New Roman"/>
                <w:sz w:val="28"/>
                <w:szCs w:val="28"/>
                <w:lang w:eastAsia="zh-CN"/>
              </w:rPr>
              <w:t>西山</w:t>
            </w:r>
            <w:r>
              <w:rPr>
                <w:rFonts w:hint="default" w:ascii="Times New Roman" w:hAnsi="Times New Roman" w:eastAsia="方正仿宋_GBK" w:cs="Times New Roman"/>
                <w:sz w:val="28"/>
                <w:szCs w:val="28"/>
                <w:lang w:val="en-US" w:eastAsia="zh-CN"/>
              </w:rPr>
              <w:t>区</w:t>
            </w:r>
            <w:r>
              <w:rPr>
                <w:rFonts w:hint="default" w:ascii="Times New Roman" w:hAnsi="Times New Roman" w:eastAsia="方正仿宋_GBK" w:cs="Times New Roman"/>
                <w:sz w:val="28"/>
                <w:szCs w:val="28"/>
                <w:lang w:eastAsia="zh-CN"/>
              </w:rPr>
              <w:t>、官渡</w:t>
            </w:r>
            <w:r>
              <w:rPr>
                <w:rFonts w:hint="default" w:ascii="Times New Roman" w:hAnsi="Times New Roman" w:eastAsia="方正仿宋_GBK" w:cs="Times New Roman"/>
                <w:sz w:val="28"/>
                <w:szCs w:val="28"/>
                <w:lang w:val="en-US" w:eastAsia="zh-CN"/>
              </w:rPr>
              <w:t>区</w:t>
            </w:r>
            <w:r>
              <w:rPr>
                <w:rFonts w:hint="default" w:ascii="Times New Roman" w:hAnsi="Times New Roman" w:eastAsia="方正仿宋_GBK" w:cs="Times New Roman"/>
                <w:sz w:val="28"/>
                <w:szCs w:val="28"/>
                <w:lang w:eastAsia="zh-CN"/>
              </w:rPr>
              <w:t>已完成18个视频监控</w:t>
            </w:r>
            <w:r>
              <w:rPr>
                <w:rFonts w:hint="eastAsia" w:eastAsia="方正仿宋_GBK" w:cs="Times New Roman"/>
                <w:sz w:val="28"/>
                <w:szCs w:val="28"/>
                <w:lang w:val="en-US" w:eastAsia="zh-CN"/>
              </w:rPr>
              <w:t>点位</w:t>
            </w:r>
            <w:r>
              <w:rPr>
                <w:rFonts w:hint="default" w:ascii="Times New Roman" w:hAnsi="Times New Roman" w:eastAsia="方正仿宋_GBK" w:cs="Times New Roman"/>
                <w:sz w:val="28"/>
                <w:szCs w:val="28"/>
                <w:lang w:eastAsia="zh-CN"/>
              </w:rPr>
              <w:t>建设，</w:t>
            </w:r>
            <w:r>
              <w:rPr>
                <w:rFonts w:hint="default" w:ascii="Times New Roman" w:hAnsi="Times New Roman" w:eastAsia="方正仿宋_GBK" w:cs="Times New Roman"/>
                <w:sz w:val="28"/>
                <w:szCs w:val="28"/>
                <w:lang w:val="en-US" w:eastAsia="zh-CN"/>
              </w:rPr>
              <w:t>晋宁</w:t>
            </w:r>
            <w:r>
              <w:rPr>
                <w:rFonts w:hint="default" w:ascii="Times New Roman" w:hAnsi="Times New Roman" w:eastAsia="方正仿宋_GBK" w:cs="Times New Roman"/>
                <w:color w:val="auto"/>
                <w:sz w:val="28"/>
                <w:szCs w:val="28"/>
                <w:lang w:val="en-US" w:eastAsia="zh-CN"/>
              </w:rPr>
              <w:t>区已完成点位选择、方案编制等工作，并积极推进建设，市滇池管理局6套无人机机场和12架无人机已完成采购和建设，</w:t>
            </w:r>
            <w:r>
              <w:rPr>
                <w:rFonts w:hint="default" w:ascii="Times New Roman" w:hAnsi="Times New Roman" w:eastAsia="方正仿宋_GBK" w:cs="Times New Roman"/>
                <w:sz w:val="28"/>
                <w:szCs w:val="28"/>
                <w:lang w:val="en-US" w:eastAsia="zh-CN"/>
              </w:rPr>
              <w:t>通过验收</w:t>
            </w:r>
            <w:r>
              <w:rPr>
                <w:rFonts w:hint="default" w:ascii="Times New Roman" w:hAnsi="Times New Roman" w:eastAsia="方正仿宋_GBK" w:cs="Times New Roman"/>
                <w:sz w:val="28"/>
                <w:szCs w:val="28"/>
                <w:lang w:eastAsia="zh-CN"/>
              </w:rPr>
              <w:t>。</w:t>
            </w:r>
            <w:r>
              <w:rPr>
                <w:rFonts w:hint="default" w:ascii="Times New Roman" w:hAnsi="Times New Roman" w:eastAsia="方正仿宋_GBK" w:cs="Times New Roman"/>
                <w:b/>
                <w:bCs/>
                <w:sz w:val="28"/>
                <w:szCs w:val="28"/>
                <w:lang w:val="en-US" w:eastAsia="zh-CN"/>
              </w:rPr>
              <w:t>四是</w:t>
            </w:r>
            <w:r>
              <w:rPr>
                <w:rFonts w:hint="default" w:ascii="Times New Roman" w:hAnsi="Times New Roman" w:eastAsia="方正仿宋_GBK" w:cs="Times New Roman"/>
                <w:sz w:val="28"/>
                <w:szCs w:val="28"/>
                <w:lang w:val="en-US" w:eastAsia="zh-CN"/>
              </w:rPr>
              <w:t>2025年2月，</w:t>
            </w:r>
            <w:r>
              <w:rPr>
                <w:rFonts w:hint="default" w:ascii="Times New Roman" w:hAnsi="Times New Roman" w:eastAsia="方正仿宋_GBK" w:cs="Times New Roman"/>
                <w:sz w:val="28"/>
                <w:szCs w:val="28"/>
                <w:lang w:eastAsia="zh-CN"/>
              </w:rPr>
              <w:t>修改完善《滇池管理辅助人员管理考核办法（试行）》，制定《滇池管理辅助人员考核管理补充规定》，进一步细化了管理规定，</w:t>
            </w:r>
            <w:r>
              <w:rPr>
                <w:rFonts w:hint="default" w:ascii="Times New Roman" w:hAnsi="Times New Roman" w:eastAsia="方正仿宋_GBK" w:cs="Times New Roman"/>
                <w:sz w:val="28"/>
                <w:szCs w:val="28"/>
                <w:lang w:val="en-US" w:eastAsia="zh-CN"/>
              </w:rPr>
              <w:t>及时</w:t>
            </w:r>
            <w:r>
              <w:rPr>
                <w:rFonts w:hint="default" w:ascii="Times New Roman" w:hAnsi="Times New Roman" w:eastAsia="方正仿宋_GBK" w:cs="Times New Roman"/>
                <w:sz w:val="28"/>
                <w:szCs w:val="28"/>
                <w:lang w:eastAsia="zh-CN"/>
              </w:rPr>
              <w:t>更新渔政执法辅助人员在岗情况统计表，严格落实考勤管理，定期报送渔政执法辅助人员</w:t>
            </w:r>
            <w:r>
              <w:rPr>
                <w:rFonts w:hint="default" w:ascii="Times New Roman" w:hAnsi="Times New Roman" w:eastAsia="方正仿宋_GBK" w:cs="Times New Roman"/>
                <w:sz w:val="28"/>
                <w:szCs w:val="28"/>
                <w:lang w:val="en-US" w:eastAsia="zh-CN"/>
              </w:rPr>
              <w:t>巡查轨迹，做好</w:t>
            </w:r>
            <w:r>
              <w:rPr>
                <w:rFonts w:hint="default" w:ascii="Times New Roman" w:hAnsi="Times New Roman" w:eastAsia="方正仿宋_GBK" w:cs="Times New Roman"/>
                <w:sz w:val="28"/>
                <w:szCs w:val="28"/>
                <w:lang w:eastAsia="zh-CN"/>
              </w:rPr>
              <w:t>渔政执法辅助人员的管理和考核</w:t>
            </w:r>
            <w:r>
              <w:rPr>
                <w:rFonts w:hint="default" w:ascii="Times New Roman" w:hAnsi="Times New Roman" w:eastAsia="方正仿宋_GBK" w:cs="Times New Roman"/>
                <w:color w:val="000000"/>
                <w:kern w:val="0"/>
                <w:sz w:val="28"/>
                <w:szCs w:val="28"/>
                <w:lang w:val="en-US" w:eastAsia="zh-CN" w:bidi="ar"/>
              </w:rPr>
              <w:t>。</w:t>
            </w:r>
            <w:r>
              <w:rPr>
                <w:rFonts w:hint="default" w:ascii="Times New Roman" w:hAnsi="Times New Roman" w:eastAsia="方正仿宋_GBK" w:cs="Times New Roman"/>
                <w:b/>
                <w:bCs/>
                <w:color w:val="000000"/>
                <w:kern w:val="0"/>
                <w:sz w:val="28"/>
                <w:szCs w:val="28"/>
                <w:lang w:val="en-US" w:eastAsia="zh-CN" w:bidi="ar"/>
              </w:rPr>
              <w:t>五是</w:t>
            </w:r>
            <w:r>
              <w:rPr>
                <w:rFonts w:hint="default" w:ascii="Times New Roman" w:hAnsi="Times New Roman" w:eastAsia="方正仿宋_GBK" w:cs="Times New Roman"/>
                <w:color w:val="auto"/>
                <w:sz w:val="28"/>
                <w:szCs w:val="28"/>
                <w:lang w:val="en-US" w:eastAsia="zh-CN"/>
              </w:rPr>
              <w:t>更新网格化管理责任人，走访2500余户次，走访人数5280余人次，重点人员160余人，重点水域1400余处，检查</w:t>
            </w:r>
            <w:r>
              <w:rPr>
                <w:rFonts w:hint="eastAsia" w:ascii="Times New Roman" w:hAnsi="Times New Roman" w:eastAsia="方正仿宋_GBK" w:cs="Times New Roman"/>
                <w:color w:val="auto"/>
                <w:sz w:val="28"/>
                <w:szCs w:val="28"/>
                <w:lang w:val="en-US" w:eastAsia="zh-CN"/>
              </w:rPr>
              <w:t>各类场所48000余</w:t>
            </w:r>
            <w:r>
              <w:rPr>
                <w:rFonts w:hint="default" w:ascii="Times New Roman" w:hAnsi="Times New Roman" w:eastAsia="方正仿宋_GBK" w:cs="Times New Roman"/>
                <w:color w:val="auto"/>
                <w:sz w:val="28"/>
                <w:szCs w:val="28"/>
                <w:lang w:val="en-US" w:eastAsia="zh-CN"/>
              </w:rPr>
              <w:t>家次。</w:t>
            </w:r>
            <w:r>
              <w:rPr>
                <w:rFonts w:hint="default" w:ascii="Times New Roman" w:hAnsi="Times New Roman" w:eastAsia="方正仿宋_GBK" w:cs="Times New Roman"/>
                <w:sz w:val="28"/>
                <w:szCs w:val="28"/>
                <w:lang w:eastAsia="zh-CN"/>
              </w:rPr>
              <w:t>倡议滇池水运行业334名工作人员参与滇池十年禁渔工作，</w:t>
            </w:r>
            <w:r>
              <w:rPr>
                <w:rFonts w:hint="default" w:ascii="Times New Roman" w:hAnsi="Times New Roman" w:eastAsia="方正仿宋_GBK" w:cs="Times New Roman"/>
                <w:color w:val="auto"/>
                <w:sz w:val="28"/>
                <w:szCs w:val="28"/>
                <w:lang w:val="en-US" w:eastAsia="zh-CN"/>
              </w:rPr>
              <w:t>组织135名相对不起诉人、6批85名社区矫正对象参加滇池十年禁渔社会宣传服务公益活动。滇池沿湖街道社区已将十年禁渔纳入村规民约，各成员单</w:t>
            </w:r>
            <w:r>
              <w:rPr>
                <w:rFonts w:hint="default" w:ascii="Times New Roman" w:hAnsi="Times New Roman" w:eastAsia="方正仿宋_GBK" w:cs="Times New Roman"/>
                <w:sz w:val="28"/>
                <w:szCs w:val="28"/>
                <w:lang w:eastAsia="zh-CN"/>
              </w:rPr>
              <w:t>位共发放</w:t>
            </w:r>
            <w:r>
              <w:rPr>
                <w:rFonts w:hint="default" w:ascii="Times New Roman" w:hAnsi="Times New Roman" w:eastAsia="方正仿宋_GBK" w:cs="Times New Roman"/>
                <w:color w:val="auto"/>
                <w:sz w:val="28"/>
                <w:szCs w:val="28"/>
                <w:lang w:val="en-US" w:eastAsia="zh-CN"/>
              </w:rPr>
              <w:t>宣传资料92291份，设置宣传标语、标志牌794个，利用微信、短信、电视、广播等进行宣传3352次。</w:t>
            </w:r>
            <w:r>
              <w:rPr>
                <w:rFonts w:hint="default" w:ascii="Times New Roman" w:hAnsi="Times New Roman" w:eastAsia="方正仿宋_GBK" w:cs="Times New Roman"/>
                <w:sz w:val="28"/>
                <w:szCs w:val="28"/>
                <w:lang w:eastAsia="zh-CN"/>
              </w:rPr>
              <w:t>与中国科学院</w:t>
            </w:r>
            <w:r>
              <w:rPr>
                <w:rFonts w:hint="default" w:ascii="Times New Roman" w:hAnsi="Times New Roman" w:eastAsia="方正仿宋_GBK" w:cs="Times New Roman"/>
                <w:color w:val="auto"/>
                <w:sz w:val="28"/>
                <w:szCs w:val="28"/>
                <w:lang w:val="en-US" w:eastAsia="zh-CN"/>
              </w:rPr>
              <w:t>水生所签订为期两年的滇池鱼类群落特征及生存环境响应研究协议，目前针对滇池鱼类活动异常情况开展了7次专项科研分析。</w:t>
            </w:r>
          </w:p>
          <w:p w14:paraId="17AD96C0">
            <w:pPr>
              <w:keepNext w:val="0"/>
              <w:keepLines w:val="0"/>
              <w:pageBreakBefore w:val="0"/>
              <w:widowControl w:val="0"/>
              <w:kinsoku/>
              <w:wordWrap/>
              <w:overflowPunct/>
              <w:topLinePunct w:val="0"/>
              <w:autoSpaceDE/>
              <w:autoSpaceDN/>
              <w:bidi w:val="0"/>
              <w:adjustRightInd/>
              <w:snapToGrid/>
              <w:spacing w:line="380" w:lineRule="exact"/>
              <w:ind w:firstLine="560" w:firstLineChars="200"/>
              <w:jc w:val="left"/>
              <w:textAlignment w:val="auto"/>
              <w:rPr>
                <w:rFonts w:hint="default" w:ascii="Times New Roman" w:hAnsi="Times New Roman" w:eastAsia="方正仿宋_GBK" w:cs="Times New Roman"/>
                <w:spacing w:val="6"/>
                <w:sz w:val="28"/>
                <w:szCs w:val="28"/>
                <w:u w:val="none" w:color="auto"/>
                <w:vertAlign w:val="baseline"/>
                <w:lang w:eastAsia="zh-CN"/>
              </w:rPr>
            </w:pPr>
            <w:r>
              <w:rPr>
                <w:rFonts w:hint="eastAsia" w:ascii="方正楷体_GBK" w:hAnsi="方正楷体_GBK" w:eastAsia="方正楷体_GBK" w:cs="方正楷体_GBK"/>
                <w:color w:val="000000"/>
                <w:kern w:val="0"/>
                <w:sz w:val="28"/>
                <w:szCs w:val="28"/>
                <w:lang w:val="en-US" w:eastAsia="zh-CN" w:bidi="ar"/>
              </w:rPr>
              <w:t>（二）玉溪市。</w:t>
            </w:r>
            <w:r>
              <w:rPr>
                <w:rFonts w:hint="default" w:ascii="Times New Roman" w:hAnsi="Times New Roman" w:eastAsia="方正仿宋_GBK" w:cs="Times New Roman"/>
                <w:color w:val="auto"/>
                <w:sz w:val="28"/>
                <w:szCs w:val="28"/>
                <w:lang w:val="en-US" w:eastAsia="zh-CN"/>
              </w:rPr>
              <w:t>玉溪市委、市政府主动扛起中央生态环境保护督察反馈问题整改主体责任，高位统筹推动部署督察整改工作，市委、市政府分别召开5次会议，市委生态文明建设排头兵暨生态环境保护工作领导小组3次召开工作会，研究部署工作，压实各级各部门整改责任，加强整改调度、严把验收关。累计安排市级资金609.1万元用于抚仙湖禁渔等相关工作。</w:t>
            </w:r>
            <w:r>
              <w:rPr>
                <w:rFonts w:hint="default" w:ascii="Times New Roman" w:hAnsi="Times New Roman" w:eastAsia="方正仿宋_GBK" w:cs="Times New Roman"/>
                <w:b/>
                <w:bCs/>
                <w:sz w:val="28"/>
                <w:szCs w:val="28"/>
                <w:lang w:val="en-US" w:eastAsia="zh-CN"/>
              </w:rPr>
              <w:t>一是</w:t>
            </w:r>
            <w:r>
              <w:rPr>
                <w:rFonts w:hint="default" w:ascii="Times New Roman" w:hAnsi="Times New Roman" w:eastAsia="方正仿宋_GBK" w:cs="Times New Roman"/>
                <w:color w:val="auto"/>
                <w:sz w:val="28"/>
                <w:szCs w:val="28"/>
                <w:lang w:val="en-US" w:eastAsia="zh-CN"/>
              </w:rPr>
              <w:t>严格落实珠江流域禁渔期制度，认真执行抚仙湖渔业发展规划和捕捞控制计划，开湖期间共办理捕捞证1487本，与办理捕捞证同步开展“禁止从事非法捕捞承诺书”签订工作，2025年签订“禁止从事非法捕捞承诺书”731份。印发实施《澄江市抚仙湖垂钓管理规定（试行）》（澄政规〔2024〕2号），2024年以来共办理垂钓证209本。加大执法力度，共计出动执法人员38878人次，执法船艇2304艘次，清理违规网具渔具20251张，立案查处渔政案件82件，严厉打击涉湖违法犯罪行为，抓获违法嫌疑人58人。</w:t>
            </w:r>
            <w:r>
              <w:rPr>
                <w:rFonts w:hint="default" w:ascii="Times New Roman" w:hAnsi="Times New Roman" w:eastAsia="方正仿宋_GBK" w:cs="Times New Roman"/>
                <w:b/>
                <w:bCs/>
                <w:sz w:val="28"/>
                <w:szCs w:val="28"/>
                <w:lang w:val="en-US" w:eastAsia="zh-CN"/>
              </w:rPr>
              <w:t>二是</w:t>
            </w:r>
            <w:r>
              <w:rPr>
                <w:rFonts w:hint="default" w:ascii="Times New Roman" w:hAnsi="Times New Roman" w:eastAsia="方正仿宋_GBK" w:cs="Times New Roman"/>
                <w:sz w:val="28"/>
                <w:szCs w:val="28"/>
                <w:lang w:val="en-US" w:eastAsia="zh-CN"/>
              </w:rPr>
              <w:t>制定出台《抚仙湖生态保护核心区网格化管理实施方案》和《抚仙湖核心区网格化管理责任清单》，推动375名湖滨保洁人员全面参与渔业资源保护和禁渔巡护工作，确保渔政执法无死角、监管无盲区。</w:t>
            </w:r>
            <w:r>
              <w:rPr>
                <w:rFonts w:hint="default" w:ascii="Times New Roman" w:hAnsi="Times New Roman" w:eastAsia="方正仿宋_GBK" w:cs="Times New Roman"/>
                <w:b/>
                <w:bCs/>
                <w:sz w:val="28"/>
                <w:szCs w:val="28"/>
                <w:lang w:val="en-US" w:eastAsia="zh-CN"/>
              </w:rPr>
              <w:t>三是</w:t>
            </w:r>
            <w:r>
              <w:rPr>
                <w:rFonts w:hint="default" w:ascii="Times New Roman" w:hAnsi="Times New Roman" w:eastAsia="方正仿宋_GBK" w:cs="Times New Roman"/>
                <w:b w:val="0"/>
                <w:bCs w:val="0"/>
                <w:color w:val="auto"/>
                <w:sz w:val="28"/>
                <w:szCs w:val="28"/>
                <w:lang w:val="en-US" w:eastAsia="zh-CN"/>
              </w:rPr>
              <w:t>制定</w:t>
            </w:r>
            <w:r>
              <w:rPr>
                <w:rFonts w:hint="default" w:ascii="Times New Roman" w:hAnsi="Times New Roman" w:eastAsia="方正仿宋_GBK" w:cs="Times New Roman"/>
                <w:color w:val="auto"/>
                <w:sz w:val="28"/>
                <w:szCs w:val="28"/>
                <w:lang w:val="en-US" w:eastAsia="zh-CN"/>
              </w:rPr>
              <w:t>《抚仙湖生态保护核心区网格化管理实施方案》（澄政办发〔2025〕7号），明确124名一二三级网格长、450名网格员（375名保洁员、75名监督员），2025年禁渔期对重点水域开展“入网格”巡查650余次。针对非法捕捞重点人员开展约谈65次，累计检查水产经营户127家次、餐饮经营户290家次，粘贴发放“严禁销售抚仙湖渔获物”宣传海报478份。累计开展普法教育48次；组建湖泊保护普法宣传小分队，累计开展《云南省抚仙湖保护条例》宣讲、宣传活动183场，发放宣传资料2万余份，受教育人数79000多人，开展典型案例以案释法33起，开展线上媒体宣传81次，发布普法文章简讯10余篇、短视频10余条，累计阅读量超23万次。联合云南省渔科院、云南大学、中科院动物所等科研单位、院校加强渔业捕捞对湖泊生态环境影响研究，配合开展国家重点研发计划课题“高原湖泊渔业资源与生物多样性保护模式示范”的研究，积极推动多个生态捕捞研究课题和项目开展，目前已取得阶段性成果。</w:t>
            </w:r>
          </w:p>
        </w:tc>
      </w:tr>
      <w:tr w14:paraId="3BD53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2" w:hRule="atLeast"/>
          <w:jc w:val="center"/>
        </w:trPr>
        <w:tc>
          <w:tcPr>
            <w:tcW w:w="1414" w:type="dxa"/>
            <w:noWrap w:val="0"/>
            <w:vAlign w:val="center"/>
          </w:tcPr>
          <w:p w14:paraId="56D7F1CF">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方正仿宋_GBK" w:cs="Times New Roman"/>
                <w:color w:val="auto"/>
                <w:sz w:val="28"/>
                <w:szCs w:val="28"/>
                <w:u w:val="none" w:color="auto"/>
                <w:vertAlign w:val="baseline"/>
                <w:lang w:eastAsia="zh-CN"/>
              </w:rPr>
            </w:pPr>
            <w:r>
              <w:rPr>
                <w:rFonts w:hint="default" w:ascii="Times New Roman" w:hAnsi="Times New Roman" w:eastAsia="方正仿宋_GBK" w:cs="Times New Roman"/>
                <w:color w:val="auto"/>
                <w:sz w:val="28"/>
                <w:szCs w:val="28"/>
                <w:u w:val="none" w:color="auto"/>
                <w:vertAlign w:val="baseline"/>
                <w:lang w:eastAsia="zh-CN"/>
              </w:rPr>
              <w:t>自查自验和验收</w:t>
            </w:r>
          </w:p>
          <w:p w14:paraId="476D617B">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方正仿宋_GBK" w:cs="Times New Roman"/>
                <w:color w:val="auto"/>
                <w:spacing w:val="6"/>
                <w:sz w:val="28"/>
                <w:szCs w:val="28"/>
                <w:u w:val="none" w:color="auto"/>
                <w:vertAlign w:val="baseline"/>
                <w:lang w:eastAsia="zh-CN"/>
              </w:rPr>
            </w:pPr>
            <w:r>
              <w:rPr>
                <w:rFonts w:hint="default" w:ascii="Times New Roman" w:hAnsi="Times New Roman" w:eastAsia="方正仿宋_GBK" w:cs="Times New Roman"/>
                <w:color w:val="auto"/>
                <w:sz w:val="28"/>
                <w:szCs w:val="28"/>
                <w:u w:val="none" w:color="auto"/>
                <w:vertAlign w:val="baseline"/>
                <w:lang w:eastAsia="zh-CN"/>
              </w:rPr>
              <w:t>情况</w:t>
            </w:r>
          </w:p>
        </w:tc>
        <w:tc>
          <w:tcPr>
            <w:tcW w:w="7344" w:type="dxa"/>
            <w:gridSpan w:val="3"/>
            <w:noWrap w:val="0"/>
            <w:vAlign w:val="center"/>
          </w:tcPr>
          <w:p w14:paraId="58FF77B6">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641"/>
              <w:jc w:val="left"/>
              <w:textAlignment w:val="auto"/>
              <w:rPr>
                <w:rFonts w:hint="default" w:ascii="Times New Roman" w:hAnsi="Times New Roman" w:eastAsia="方正仿宋_GBK" w:cs="Times New Roman"/>
                <w:i w:val="0"/>
                <w:iCs w:val="0"/>
                <w:caps w:val="0"/>
                <w:color w:val="000000"/>
                <w:spacing w:val="0"/>
                <w:sz w:val="28"/>
                <w:szCs w:val="28"/>
                <w:u w:val="none" w:color="auto"/>
                <w:shd w:val="clear" w:color="auto" w:fill="FFFFFF"/>
                <w:lang w:val="en-US" w:eastAsia="zh-CN"/>
              </w:rPr>
            </w:pPr>
            <w:r>
              <w:rPr>
                <w:rFonts w:hint="default" w:ascii="Times New Roman" w:hAnsi="Times New Roman" w:eastAsia="方正仿宋_GBK" w:cs="Times New Roman"/>
                <w:color w:val="000000"/>
                <w:kern w:val="0"/>
                <w:sz w:val="28"/>
                <w:szCs w:val="28"/>
                <w:lang w:val="en-US" w:eastAsia="zh-CN" w:bidi="ar"/>
              </w:rPr>
              <w:t>2025年9月25日、10月31日，玉溪市、昆明市分别组织市级单位对问题整改开展了自查自验，并报请省农业农村厅验收，2025年12月4—5日，省农业农村厅会同省公安厅、省市场监管局组成验收组赴昆明市、玉溪市</w:t>
            </w:r>
            <w:r>
              <w:rPr>
                <w:rFonts w:hint="default" w:ascii="Times New Roman" w:hAnsi="Times New Roman" w:eastAsia="方正仿宋_GBK" w:cs="Times New Roman"/>
                <w:sz w:val="28"/>
                <w:szCs w:val="28"/>
                <w:lang w:val="en-US" w:eastAsia="zh-CN"/>
              </w:rPr>
              <w:t>进行省级验收，</w:t>
            </w:r>
            <w:r>
              <w:rPr>
                <w:rFonts w:hint="default" w:ascii="Times New Roman" w:hAnsi="Times New Roman" w:eastAsia="方正仿宋_GBK" w:cs="Times New Roman"/>
                <w:i w:val="0"/>
                <w:iCs w:val="0"/>
                <w:caps w:val="0"/>
                <w:color w:val="000000"/>
                <w:spacing w:val="0"/>
                <w:sz w:val="28"/>
                <w:szCs w:val="28"/>
                <w:u w:val="none" w:color="auto"/>
                <w:shd w:val="clear" w:color="auto" w:fill="FFFFFF"/>
                <w:lang w:val="en-US" w:eastAsia="zh-CN"/>
              </w:rPr>
              <w:t>经材料审阅和现场检查核实，该问题已完成整改任务，符合验收要求，同意通过验收。第三轮中央生态环境保护督察反馈的昆明市滇池、玉溪市抚仙湖等地禁渔工作落实还不够到位问题（序号40-18）已完成整改，通过省级销号验收，现进行销号公示。</w:t>
            </w:r>
          </w:p>
          <w:p w14:paraId="65205A5D">
            <w:pPr>
              <w:keepNext w:val="0"/>
              <w:keepLines w:val="0"/>
              <w:pageBreakBefore w:val="0"/>
              <w:widowControl w:val="0"/>
              <w:tabs>
                <w:tab w:val="left" w:pos="897"/>
              </w:tabs>
              <w:kinsoku/>
              <w:wordWrap/>
              <w:overflowPunct/>
              <w:topLinePunct w:val="0"/>
              <w:autoSpaceDE/>
              <w:autoSpaceDN/>
              <w:bidi w:val="0"/>
              <w:adjustRightInd w:val="0"/>
              <w:snapToGrid w:val="0"/>
              <w:spacing w:line="380" w:lineRule="exact"/>
              <w:ind w:firstLine="560" w:firstLineChars="200"/>
              <w:jc w:val="left"/>
              <w:textAlignment w:val="auto"/>
              <w:rPr>
                <w:rFonts w:hint="default" w:ascii="Times New Roman" w:hAnsi="Times New Roman" w:eastAsia="方正仿宋_GBK" w:cs="Times New Roman"/>
                <w:sz w:val="28"/>
                <w:szCs w:val="28"/>
                <w:u w:val="none" w:color="auto"/>
                <w:vertAlign w:val="baseline"/>
                <w:lang w:eastAsia="zh-CN"/>
              </w:rPr>
            </w:pPr>
            <w:r>
              <w:rPr>
                <w:rFonts w:hint="default" w:ascii="Times New Roman" w:hAnsi="Times New Roman" w:eastAsia="方正仿宋_GBK" w:cs="Times New Roman"/>
                <w:i w:val="0"/>
                <w:iCs w:val="0"/>
                <w:caps w:val="0"/>
                <w:color w:val="000000"/>
                <w:spacing w:val="0"/>
                <w:sz w:val="28"/>
                <w:szCs w:val="28"/>
                <w:u w:val="none" w:color="auto"/>
                <w:shd w:val="clear" w:color="auto" w:fill="FFFFFF"/>
                <w:lang w:val="en-US" w:eastAsia="zh-CN"/>
              </w:rPr>
              <w:t>2026年3月3日中共云南省委生态文明建设排头兵暨生态环境保护督察工作领导小组办公室原则同意对第三轮中央生态环境保护督察报告整改任务（序号40-18）予以销号。</w:t>
            </w:r>
          </w:p>
        </w:tc>
      </w:tr>
      <w:tr w14:paraId="4AAE1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jc w:val="center"/>
        </w:trPr>
        <w:tc>
          <w:tcPr>
            <w:tcW w:w="1414" w:type="dxa"/>
            <w:noWrap w:val="0"/>
            <w:vAlign w:val="center"/>
          </w:tcPr>
          <w:p w14:paraId="3B749A75">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方正仿宋_GBK" w:cs="Times New Roman"/>
                <w:sz w:val="28"/>
                <w:szCs w:val="28"/>
                <w:u w:val="none" w:color="auto"/>
                <w:vertAlign w:val="baseline"/>
                <w:lang w:val="en-US" w:eastAsia="zh-CN"/>
              </w:rPr>
            </w:pPr>
            <w:r>
              <w:rPr>
                <w:rFonts w:hint="default" w:ascii="Times New Roman" w:hAnsi="Times New Roman" w:eastAsia="方正仿宋_GBK" w:cs="Times New Roman"/>
                <w:sz w:val="28"/>
                <w:szCs w:val="28"/>
                <w:u w:val="none" w:color="auto"/>
                <w:vertAlign w:val="baseline"/>
                <w:lang w:val="en-US" w:eastAsia="zh-CN"/>
              </w:rPr>
              <w:t>公示说明</w:t>
            </w:r>
          </w:p>
        </w:tc>
        <w:tc>
          <w:tcPr>
            <w:tcW w:w="7344" w:type="dxa"/>
            <w:gridSpan w:val="3"/>
            <w:noWrap w:val="0"/>
            <w:vAlign w:val="center"/>
          </w:tcPr>
          <w:p w14:paraId="428A69AB">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600" w:firstLineChars="200"/>
              <w:jc w:val="left"/>
              <w:textAlignment w:val="auto"/>
              <w:rPr>
                <w:rFonts w:hint="default" w:ascii="Times New Roman" w:hAnsi="Times New Roman" w:eastAsia="方正仿宋_GBK" w:cs="Times New Roman"/>
                <w:sz w:val="28"/>
                <w:szCs w:val="28"/>
                <w:u w:val="none" w:color="auto"/>
                <w:vertAlign w:val="baseline"/>
                <w:lang w:eastAsia="zh-CN"/>
              </w:rPr>
            </w:pPr>
            <w:r>
              <w:rPr>
                <w:rFonts w:hint="default" w:ascii="Times New Roman" w:hAnsi="Times New Roman" w:eastAsia="方正仿宋_GBK" w:cs="Times New Roman"/>
                <w:i w:val="0"/>
                <w:iCs w:val="0"/>
                <w:caps w:val="0"/>
                <w:color w:val="000000"/>
                <w:spacing w:val="0"/>
                <w:sz w:val="30"/>
                <w:szCs w:val="30"/>
                <w:u w:val="none" w:color="auto"/>
                <w:shd w:val="clear" w:color="auto" w:fill="FFFFFF"/>
                <w:lang w:val="en-US" w:eastAsia="zh-CN"/>
              </w:rPr>
              <w:t>公众对整改验收情况有异议的，可通过公示电话、电子邮件等进行反映。公示期满无异议的，将按程序对该整改任务予以销号。</w:t>
            </w:r>
          </w:p>
        </w:tc>
      </w:tr>
      <w:tr w14:paraId="5C237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jc w:val="center"/>
        </w:trPr>
        <w:tc>
          <w:tcPr>
            <w:tcW w:w="1414" w:type="dxa"/>
            <w:noWrap w:val="0"/>
            <w:vAlign w:val="center"/>
          </w:tcPr>
          <w:p w14:paraId="7FF5F5DC">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方正仿宋_GBK" w:cs="Times New Roman"/>
                <w:sz w:val="28"/>
                <w:szCs w:val="28"/>
                <w:u w:val="none" w:color="auto"/>
                <w:vertAlign w:val="baseline"/>
                <w:lang w:eastAsia="zh-CN"/>
              </w:rPr>
            </w:pPr>
            <w:r>
              <w:rPr>
                <w:rFonts w:hint="default" w:ascii="Times New Roman" w:hAnsi="Times New Roman" w:eastAsia="方正仿宋_GBK" w:cs="Times New Roman"/>
                <w:sz w:val="28"/>
                <w:szCs w:val="28"/>
                <w:u w:val="none" w:color="auto"/>
                <w:vertAlign w:val="baseline"/>
                <w:lang w:eastAsia="zh-CN"/>
              </w:rPr>
              <w:t>反馈意见</w:t>
            </w:r>
          </w:p>
          <w:p w14:paraId="32544E75">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方正仿宋_GBK" w:cs="Times New Roman"/>
                <w:spacing w:val="6"/>
                <w:sz w:val="28"/>
                <w:szCs w:val="28"/>
                <w:u w:val="none" w:color="auto"/>
                <w:vertAlign w:val="baseline"/>
                <w:lang w:eastAsia="zh-CN"/>
              </w:rPr>
            </w:pPr>
            <w:r>
              <w:rPr>
                <w:rFonts w:hint="default" w:ascii="Times New Roman" w:hAnsi="Times New Roman" w:eastAsia="方正仿宋_GBK" w:cs="Times New Roman"/>
                <w:sz w:val="28"/>
                <w:szCs w:val="28"/>
                <w:u w:val="none" w:color="auto"/>
                <w:vertAlign w:val="baseline"/>
                <w:lang w:eastAsia="zh-CN"/>
              </w:rPr>
              <w:t>联系方式</w:t>
            </w:r>
          </w:p>
        </w:tc>
        <w:tc>
          <w:tcPr>
            <w:tcW w:w="7344" w:type="dxa"/>
            <w:gridSpan w:val="3"/>
            <w:noWrap w:val="0"/>
            <w:vAlign w:val="center"/>
          </w:tcPr>
          <w:p w14:paraId="7899DD9B">
            <w:pPr>
              <w:keepNext w:val="0"/>
              <w:keepLines w:val="0"/>
              <w:pageBreakBefore w:val="0"/>
              <w:widowControl w:val="0"/>
              <w:kinsoku/>
              <w:wordWrap/>
              <w:overflowPunct/>
              <w:topLinePunct w:val="0"/>
              <w:autoSpaceDE/>
              <w:autoSpaceDN/>
              <w:bidi w:val="0"/>
              <w:adjustRightInd w:val="0"/>
              <w:snapToGrid w:val="0"/>
              <w:spacing w:line="380" w:lineRule="exact"/>
              <w:jc w:val="left"/>
              <w:textAlignment w:val="auto"/>
              <w:rPr>
                <w:rFonts w:hint="default" w:ascii="Times New Roman" w:hAnsi="Times New Roman" w:eastAsia="方正仿宋_GBK" w:cs="Times New Roman"/>
                <w:sz w:val="28"/>
                <w:szCs w:val="28"/>
                <w:u w:val="none" w:color="auto"/>
                <w:vertAlign w:val="baseline"/>
                <w:lang w:val="en-US" w:eastAsia="zh-CN"/>
              </w:rPr>
            </w:pPr>
            <w:r>
              <w:rPr>
                <w:rFonts w:hint="default" w:ascii="Times New Roman" w:hAnsi="Times New Roman" w:eastAsia="方正仿宋_GBK" w:cs="Times New Roman"/>
                <w:sz w:val="28"/>
                <w:szCs w:val="28"/>
                <w:u w:val="none" w:color="auto"/>
                <w:vertAlign w:val="baseline"/>
                <w:lang w:eastAsia="zh-CN"/>
              </w:rPr>
              <w:t>联系人及电话：</w:t>
            </w:r>
            <w:r>
              <w:rPr>
                <w:rFonts w:hint="default" w:ascii="Times New Roman" w:hAnsi="Times New Roman" w:eastAsia="方正仿宋_GBK" w:cs="Times New Roman"/>
                <w:sz w:val="28"/>
                <w:szCs w:val="28"/>
                <w:u w:val="none" w:color="auto"/>
                <w:vertAlign w:val="baseline"/>
                <w:lang w:val="en-US" w:eastAsia="zh-CN"/>
              </w:rPr>
              <w:t>渔业渔政管理处，0871-65749501</w:t>
            </w:r>
          </w:p>
          <w:p w14:paraId="0A04AC80">
            <w:pPr>
              <w:keepNext w:val="0"/>
              <w:keepLines w:val="0"/>
              <w:pageBreakBefore w:val="0"/>
              <w:widowControl w:val="0"/>
              <w:kinsoku/>
              <w:wordWrap/>
              <w:overflowPunct/>
              <w:topLinePunct w:val="0"/>
              <w:autoSpaceDE/>
              <w:autoSpaceDN/>
              <w:bidi w:val="0"/>
              <w:adjustRightInd w:val="0"/>
              <w:snapToGrid w:val="0"/>
              <w:spacing w:line="380" w:lineRule="exact"/>
              <w:jc w:val="left"/>
              <w:textAlignment w:val="auto"/>
              <w:rPr>
                <w:rFonts w:hint="default" w:ascii="Times New Roman" w:hAnsi="Times New Roman" w:eastAsia="方正仿宋_GBK" w:cs="Times New Roman"/>
                <w:spacing w:val="6"/>
                <w:sz w:val="28"/>
                <w:szCs w:val="28"/>
                <w:u w:val="none" w:color="auto"/>
                <w:vertAlign w:val="baseline"/>
                <w:lang w:eastAsia="zh-CN"/>
              </w:rPr>
            </w:pPr>
            <w:r>
              <w:rPr>
                <w:rFonts w:hint="default" w:ascii="Times New Roman" w:hAnsi="Times New Roman" w:eastAsia="方正仿宋_GBK" w:cs="Times New Roman"/>
                <w:sz w:val="28"/>
                <w:szCs w:val="28"/>
                <w:u w:val="none" w:color="auto"/>
                <w:vertAlign w:val="baseline"/>
                <w:lang w:eastAsia="zh-CN"/>
              </w:rPr>
              <w:t>电子邮箱：</w:t>
            </w:r>
            <w:r>
              <w:rPr>
                <w:rFonts w:hint="default" w:ascii="Times New Roman" w:hAnsi="Times New Roman" w:eastAsia="方正仿宋_GBK" w:cs="Times New Roman"/>
                <w:sz w:val="28"/>
                <w:szCs w:val="28"/>
                <w:u w:val="none" w:color="auto"/>
                <w:vertAlign w:val="baseline"/>
                <w:lang w:val="en-US" w:eastAsia="zh-CN"/>
              </w:rPr>
              <w:t>ynyyyz@163.com</w:t>
            </w:r>
          </w:p>
        </w:tc>
      </w:tr>
    </w:tbl>
    <w:p w14:paraId="35788644">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default" w:ascii="Times New Roman" w:hAnsi="Times New Roman" w:cs="Times New Roma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2000000000000000000"/>
    <w:charset w:val="86"/>
    <w:family w:val="script"/>
    <w:pitch w:val="default"/>
    <w:sig w:usb0="00000000" w:usb1="00000000" w:usb2="00082016" w:usb3="00000000" w:csb0="00040001" w:csb1="00000000"/>
  </w:font>
  <w:font w:name="方正楷体_GBK">
    <w:altName w:val="微软雅黑"/>
    <w:panose1 w:val="02000000000000000000"/>
    <w:charset w:val="86"/>
    <w:family w:val="script"/>
    <w:pitch w:val="default"/>
    <w:sig w:usb0="00000000" w:usb1="00000000" w:usb2="00082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2BAFF">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0651CA">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C0651CA">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47BDA"/>
    <w:multiLevelType w:val="singleLevel"/>
    <w:tmpl w:val="3FE47BDA"/>
    <w:lvl w:ilvl="0" w:tentative="0">
      <w:start w:val="1"/>
      <w:numFmt w:val="chineseCounting"/>
      <w:pStyle w:val="2"/>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203FAE"/>
    <w:rsid w:val="03237D85"/>
    <w:rsid w:val="042B5143"/>
    <w:rsid w:val="17D336D0"/>
    <w:rsid w:val="19726F19"/>
    <w:rsid w:val="20BB11A5"/>
    <w:rsid w:val="22C5630B"/>
    <w:rsid w:val="259605E0"/>
    <w:rsid w:val="28DB0637"/>
    <w:rsid w:val="34930017"/>
    <w:rsid w:val="3825367C"/>
    <w:rsid w:val="3EC848B5"/>
    <w:rsid w:val="41E53E7C"/>
    <w:rsid w:val="49267254"/>
    <w:rsid w:val="4FF754A7"/>
    <w:rsid w:val="50E41083"/>
    <w:rsid w:val="523C1897"/>
    <w:rsid w:val="531E7A7F"/>
    <w:rsid w:val="55F66200"/>
    <w:rsid w:val="58B303D9"/>
    <w:rsid w:val="5A3317D1"/>
    <w:rsid w:val="64370110"/>
    <w:rsid w:val="65F77B57"/>
    <w:rsid w:val="68D26659"/>
    <w:rsid w:val="6BEA3CBA"/>
    <w:rsid w:val="6CBE13CE"/>
    <w:rsid w:val="70333E81"/>
    <w:rsid w:val="70381498"/>
    <w:rsid w:val="76124539"/>
    <w:rsid w:val="768076F4"/>
    <w:rsid w:val="7A7931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9"/>
    <w:pPr>
      <w:keepNext/>
      <w:keepLines/>
      <w:ind w:firstLine="200" w:firstLineChars="200"/>
      <w:jc w:val="left"/>
      <w:outlineLvl w:val="0"/>
    </w:pPr>
    <w:rPr>
      <w:rFonts w:eastAsia="方正黑体_GBK"/>
      <w:bCs/>
      <w:kern w:val="44"/>
      <w:szCs w:val="44"/>
    </w:rPr>
  </w:style>
  <w:style w:type="paragraph" w:styleId="2">
    <w:name w:val="heading 2"/>
    <w:basedOn w:val="1"/>
    <w:next w:val="1"/>
    <w:qFormat/>
    <w:uiPriority w:val="0"/>
    <w:pPr>
      <w:keepNext/>
      <w:keepLines/>
      <w:numPr>
        <w:ilvl w:val="0"/>
        <w:numId w:val="1"/>
      </w:numPr>
      <w:spacing w:line="580" w:lineRule="exact"/>
      <w:outlineLvl w:val="1"/>
    </w:pPr>
    <w:rPr>
      <w:rFonts w:eastAsia="方正楷体_GBK"/>
      <w:b/>
      <w:bCs/>
      <w:sz w:val="20"/>
      <w:szCs w:val="32"/>
    </w:rPr>
  </w:style>
  <w:style w:type="paragraph" w:styleId="4">
    <w:name w:val="heading 4"/>
    <w:basedOn w:val="1"/>
    <w:next w:val="1"/>
    <w:unhideWhenUsed/>
    <w:qFormat/>
    <w:uiPriority w:val="0"/>
    <w:pPr>
      <w:spacing w:before="100" w:beforeAutospacing="1" w:after="100" w:afterAutospacing="1"/>
      <w:jc w:val="left"/>
      <w:outlineLvl w:val="3"/>
    </w:pPr>
    <w:rPr>
      <w:rFonts w:hint="eastAsia" w:ascii="宋体" w:hAnsi="宋体" w:eastAsia="宋体" w:cs="宋体"/>
      <w:b/>
      <w:bCs/>
      <w:kern w:val="0"/>
      <w:sz w:val="24"/>
      <w:szCs w:val="24"/>
      <w:lang w:val="en-US" w:eastAsia="zh-CN" w:bidi="ar"/>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Body Text"/>
    <w:basedOn w:val="1"/>
    <w:next w:val="6"/>
    <w:qFormat/>
    <w:uiPriority w:val="0"/>
    <w:pPr>
      <w:widowControl w:val="0"/>
      <w:spacing w:after="120" w:line="560" w:lineRule="exact"/>
      <w:ind w:firstLine="640" w:firstLineChars="200"/>
      <w:jc w:val="both"/>
    </w:pPr>
    <w:rPr>
      <w:rFonts w:ascii="Calibri" w:hAnsi="Calibri" w:eastAsia="宋体" w:cs="Times New Roman"/>
      <w:kern w:val="2"/>
      <w:sz w:val="32"/>
      <w:szCs w:val="32"/>
      <w:lang w:val="en-US" w:eastAsia="zh-CN" w:bidi="ar-SA"/>
    </w:rPr>
  </w:style>
  <w:style w:type="paragraph" w:styleId="6">
    <w:name w:val="toc 5"/>
    <w:basedOn w:val="1"/>
    <w:next w:val="1"/>
    <w:unhideWhenUsed/>
    <w:qFormat/>
    <w:uiPriority w:val="39"/>
    <w:pPr>
      <w:widowControl w:val="0"/>
      <w:spacing w:line="560" w:lineRule="exact"/>
      <w:ind w:left="1680" w:leftChars="800" w:firstLine="640" w:firstLineChars="200"/>
      <w:jc w:val="both"/>
    </w:pPr>
    <w:rPr>
      <w:rFonts w:ascii="Times New Roman" w:hAnsi="Times New Roman" w:eastAsia="宋体" w:cs="Times New Roman"/>
      <w:kern w:val="2"/>
      <w:sz w:val="32"/>
      <w:szCs w:val="32"/>
      <w:lang w:val="en-US" w:eastAsia="zh-CN" w:bidi="ar-SA"/>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f0f9092c-9100-4c15-8e55-f75cf24c37c5</errorID>
      <errorWord>任</errorWord>
      <group>L1_Word</group>
      <groupName>字词问题</groupName>
      <ability>L2_Typo</ability>
      <abilityName>字词错误</abilityName>
      <candidateList>
        <item>任务</item>
      </candidateList>
      <explain>〈名〉指定担任的工作；指定担负的责任：生产～｜超额完成～｜本校今年的招生～是五百名。</explain>
      <paraID>3FB0FCA7</paraID>
      <start>57</start>
      <end>59</end>
      <status>modified</status>
      <modifiedWord>任务</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198d626-7eb8-4424-aa2e-cdd6b0b39ff4}">
  <ds:schemaRefs/>
</ds:datastoreItem>
</file>

<file path=docProps/app.xml><?xml version="1.0" encoding="utf-8"?>
<Properties xmlns="http://schemas.openxmlformats.org/officeDocument/2006/extended-properties" xmlns:vt="http://schemas.openxmlformats.org/officeDocument/2006/docPropsVTypes">
  <Template>Normal.dotm</Template>
  <Pages>3</Pages>
  <Words>2256</Words>
  <Characters>2459</Characters>
  <Lines>0</Lines>
  <Paragraphs>0</Paragraphs>
  <TotalTime>318</TotalTime>
  <ScaleCrop>false</ScaleCrop>
  <LinksUpToDate>false</LinksUpToDate>
  <CharactersWithSpaces>2459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2026-03-05T09:46:00Z</dcterms:created>
  <dc:creator>ynkht</dc:creator>
  <cp:lastModifiedBy>zyh</cp:lastModifiedBy>
  <cp:lastPrinted>2026-03-06T00:47:00Z</cp:lastPrinted>
  <dcterms:modified xsi:type="dcterms:W3CDTF">2026-03-09T08:03:28Z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eyJoZGlkIjoiYmI0OTBhMzA4Zjg4OTA2ZTJjZTc2MmQ4ZWY3OWViNDMiLCJ1c2VySWQiOiI0MTMxNzYxNDQifQ==</vt:lpwstr>
  </property>
  <property fmtid="{D5CDD505-2E9C-101B-9397-08002B2CF9AE}" pid="4" name="ICV">
    <vt:lpwstr>6F5DC44450D24B82810FA6356A6125F7_13</vt:lpwstr>
  </property>
</Properties>
</file>